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34485" w14:textId="30EC41E2" w:rsidR="008B00EF" w:rsidRPr="00C80254" w:rsidRDefault="00C80254" w:rsidP="009033C3">
      <w:pPr>
        <w:spacing w:line="360" w:lineRule="auto"/>
        <w:rPr>
          <w:rFonts w:ascii="Bookman Old Style" w:hAnsi="Bookman Old Style"/>
          <w:b/>
          <w:bCs/>
          <w:sz w:val="24"/>
          <w:szCs w:val="24"/>
        </w:rPr>
      </w:pPr>
      <w:r w:rsidRPr="00C80254">
        <w:rPr>
          <w:rFonts w:ascii="Bookman Old Style" w:hAnsi="Bookman Old Style"/>
          <w:b/>
          <w:bCs/>
          <w:sz w:val="24"/>
          <w:szCs w:val="24"/>
        </w:rPr>
        <w:t xml:space="preserve">LEGAL ANALYSIS OF </w:t>
      </w:r>
      <w:r w:rsidR="00C216EC">
        <w:rPr>
          <w:rFonts w:ascii="Bookman Old Style" w:hAnsi="Bookman Old Style"/>
          <w:b/>
          <w:bCs/>
          <w:sz w:val="24"/>
          <w:szCs w:val="24"/>
        </w:rPr>
        <w:t>MR5 Registration Requirement</w:t>
      </w:r>
    </w:p>
    <w:p w14:paraId="24250997" w14:textId="422B3DE2" w:rsidR="008B00EF" w:rsidRPr="008B00EF" w:rsidRDefault="00070FDA" w:rsidP="009033C3">
      <w:pPr>
        <w:spacing w:line="360" w:lineRule="auto"/>
        <w:rPr>
          <w:rFonts w:ascii="Bookman Old Style" w:hAnsi="Bookman Old Style"/>
          <w:sz w:val="24"/>
          <w:szCs w:val="24"/>
        </w:rPr>
      </w:pPr>
      <w:r w:rsidRPr="008B00EF">
        <w:rPr>
          <w:rFonts w:ascii="Bookman Old Style" w:hAnsi="Bookman Old Style"/>
          <w:b/>
          <w:bCs/>
          <w:sz w:val="24"/>
          <w:szCs w:val="24"/>
        </w:rPr>
        <w:t>ANONYMITY</w:t>
      </w:r>
      <w:r>
        <w:rPr>
          <w:rFonts w:ascii="Bookman Old Style" w:hAnsi="Bookman Old Style"/>
          <w:b/>
          <w:bCs/>
          <w:sz w:val="24"/>
          <w:szCs w:val="24"/>
        </w:rPr>
        <w:t xml:space="preserve"> AS A RIGHT </w:t>
      </w:r>
      <w:r w:rsidRPr="008B00EF">
        <w:rPr>
          <w:rFonts w:ascii="Bookman Old Style" w:hAnsi="Bookman Old Style"/>
          <w:b/>
          <w:bCs/>
          <w:sz w:val="24"/>
          <w:szCs w:val="24"/>
        </w:rPr>
        <w:t xml:space="preserve"> </w:t>
      </w:r>
    </w:p>
    <w:p w14:paraId="7AB5DC1B" w14:textId="4E4F00BE" w:rsidR="00CD6E2E" w:rsidRPr="00CB420A" w:rsidRDefault="00710000" w:rsidP="009033C3">
      <w:pPr>
        <w:spacing w:line="360" w:lineRule="auto"/>
        <w:rPr>
          <w:rFonts w:ascii="Bookman Old Style" w:hAnsi="Bookman Old Style"/>
          <w:b/>
          <w:bCs/>
          <w:sz w:val="24"/>
          <w:szCs w:val="24"/>
        </w:rPr>
      </w:pPr>
      <w:r>
        <w:rPr>
          <w:rFonts w:ascii="Bookman Old Style" w:hAnsi="Bookman Old Style"/>
          <w:b/>
          <w:bCs/>
          <w:sz w:val="24"/>
          <w:szCs w:val="24"/>
        </w:rPr>
        <w:t xml:space="preserve">Anonymity </w:t>
      </w:r>
      <w:r w:rsidR="00400F99">
        <w:rPr>
          <w:rFonts w:ascii="Bookman Old Style" w:hAnsi="Bookman Old Style"/>
          <w:b/>
          <w:bCs/>
          <w:sz w:val="24"/>
          <w:szCs w:val="24"/>
        </w:rPr>
        <w:t xml:space="preserve">and its </w:t>
      </w:r>
      <w:r w:rsidR="008172A1">
        <w:rPr>
          <w:rFonts w:ascii="Bookman Old Style" w:hAnsi="Bookman Old Style"/>
          <w:b/>
          <w:bCs/>
          <w:sz w:val="24"/>
          <w:szCs w:val="24"/>
        </w:rPr>
        <w:t xml:space="preserve">relevance </w:t>
      </w:r>
    </w:p>
    <w:p w14:paraId="105051C0" w14:textId="6C8264B7" w:rsidR="00B7688F" w:rsidRDefault="000F0A37" w:rsidP="009033C3">
      <w:pPr>
        <w:spacing w:line="360" w:lineRule="auto"/>
        <w:rPr>
          <w:rFonts w:ascii="Bookman Old Style" w:hAnsi="Bookman Old Style"/>
          <w:sz w:val="24"/>
          <w:szCs w:val="24"/>
        </w:rPr>
      </w:pPr>
      <w:r>
        <w:rPr>
          <w:rFonts w:ascii="Bookman Old Style" w:hAnsi="Bookman Old Style"/>
          <w:sz w:val="24"/>
          <w:szCs w:val="24"/>
        </w:rPr>
        <w:t>T</w:t>
      </w:r>
      <w:r w:rsidR="00594E72">
        <w:rPr>
          <w:rFonts w:ascii="Bookman Old Style" w:hAnsi="Bookman Old Style"/>
          <w:sz w:val="24"/>
          <w:szCs w:val="24"/>
        </w:rPr>
        <w:t xml:space="preserve">he </w:t>
      </w:r>
      <w:r>
        <w:rPr>
          <w:rFonts w:ascii="Bookman Old Style" w:hAnsi="Bookman Old Style"/>
          <w:sz w:val="24"/>
          <w:szCs w:val="24"/>
        </w:rPr>
        <w:t>2015 report of the S</w:t>
      </w:r>
      <w:r w:rsidR="00594E72">
        <w:rPr>
          <w:rFonts w:ascii="Bookman Old Style" w:hAnsi="Bookman Old Style"/>
          <w:sz w:val="24"/>
          <w:szCs w:val="24"/>
        </w:rPr>
        <w:t>pecial Rapporteur on the promotion and protection of the right to freedom of opinion and expression</w:t>
      </w:r>
      <w:r>
        <w:rPr>
          <w:rFonts w:ascii="Bookman Old Style" w:hAnsi="Bookman Old Style"/>
          <w:sz w:val="24"/>
          <w:szCs w:val="24"/>
        </w:rPr>
        <w:t xml:space="preserve"> </w:t>
      </w:r>
      <w:r w:rsidR="00594E72">
        <w:rPr>
          <w:rFonts w:ascii="Bookman Old Style" w:hAnsi="Bookman Old Style"/>
          <w:sz w:val="24"/>
          <w:szCs w:val="24"/>
        </w:rPr>
        <w:t>defines anonymity as the condition to avoid identification and something that may have the effect of liberating a person to explore and spread their ideas which may not be possible using their actual identity.</w:t>
      </w:r>
      <w:r w:rsidR="00594E72">
        <w:rPr>
          <w:rStyle w:val="FootnoteReference"/>
          <w:rFonts w:ascii="Bookman Old Style" w:hAnsi="Bookman Old Style"/>
          <w:sz w:val="24"/>
          <w:szCs w:val="24"/>
        </w:rPr>
        <w:footnoteReference w:id="1"/>
      </w:r>
      <w:r w:rsidR="00594E72">
        <w:rPr>
          <w:rFonts w:ascii="Bookman Old Style" w:hAnsi="Bookman Old Style"/>
          <w:sz w:val="24"/>
          <w:szCs w:val="24"/>
        </w:rPr>
        <w:t xml:space="preserve"> </w:t>
      </w:r>
      <w:r>
        <w:rPr>
          <w:rFonts w:ascii="Bookman Old Style" w:hAnsi="Bookman Old Style"/>
          <w:sz w:val="24"/>
          <w:szCs w:val="24"/>
        </w:rPr>
        <w:t xml:space="preserve">Further, </w:t>
      </w:r>
      <w:r w:rsidR="00070FDA">
        <w:rPr>
          <w:rFonts w:ascii="Bookman Old Style" w:hAnsi="Bookman Old Style"/>
          <w:sz w:val="24"/>
          <w:szCs w:val="24"/>
        </w:rPr>
        <w:t xml:space="preserve">it mentions that </w:t>
      </w:r>
      <w:r>
        <w:rPr>
          <w:rFonts w:ascii="Bookman Old Style" w:hAnsi="Bookman Old Style"/>
          <w:sz w:val="24"/>
          <w:szCs w:val="24"/>
        </w:rPr>
        <w:t>a</w:t>
      </w:r>
      <w:r w:rsidR="00594E72">
        <w:rPr>
          <w:rFonts w:ascii="Bookman Old Style" w:hAnsi="Bookman Old Style"/>
          <w:sz w:val="24"/>
          <w:szCs w:val="24"/>
        </w:rPr>
        <w:t>nonymity and encryption t</w:t>
      </w:r>
      <w:r w:rsidR="00797340">
        <w:rPr>
          <w:rFonts w:ascii="Bookman Old Style" w:hAnsi="Bookman Old Style"/>
          <w:sz w:val="24"/>
          <w:szCs w:val="24"/>
        </w:rPr>
        <w:t>ogether create a safe space of privacy which protects expression</w:t>
      </w:r>
      <w:r w:rsidR="00797340">
        <w:rPr>
          <w:rStyle w:val="FootnoteReference"/>
          <w:rFonts w:ascii="Bookman Old Style" w:hAnsi="Bookman Old Style"/>
          <w:sz w:val="24"/>
          <w:szCs w:val="24"/>
        </w:rPr>
        <w:footnoteReference w:id="2"/>
      </w:r>
      <w:r>
        <w:rPr>
          <w:rFonts w:ascii="Bookman Old Style" w:hAnsi="Bookman Old Style"/>
          <w:sz w:val="24"/>
          <w:szCs w:val="24"/>
        </w:rPr>
        <w:t xml:space="preserve">i.e., </w:t>
      </w:r>
      <w:r w:rsidR="00797340">
        <w:rPr>
          <w:rFonts w:ascii="Bookman Old Style" w:hAnsi="Bookman Old Style"/>
          <w:sz w:val="24"/>
          <w:szCs w:val="24"/>
        </w:rPr>
        <w:t xml:space="preserve"> </w:t>
      </w:r>
      <w:r>
        <w:rPr>
          <w:rFonts w:ascii="Bookman Old Style" w:hAnsi="Bookman Old Style"/>
          <w:sz w:val="24"/>
          <w:szCs w:val="24"/>
        </w:rPr>
        <w:t>r</w:t>
      </w:r>
      <w:r w:rsidR="00B7688F">
        <w:rPr>
          <w:rFonts w:ascii="Bookman Old Style" w:hAnsi="Bookman Old Style"/>
          <w:sz w:val="24"/>
          <w:szCs w:val="24"/>
        </w:rPr>
        <w:t>ealisation of right to privacy is paramount for an individual to express themselves freely.</w:t>
      </w:r>
      <w:r w:rsidR="00B7688F">
        <w:rPr>
          <w:rStyle w:val="FootnoteReference"/>
          <w:rFonts w:ascii="Bookman Old Style" w:hAnsi="Bookman Old Style"/>
          <w:sz w:val="24"/>
          <w:szCs w:val="24"/>
        </w:rPr>
        <w:footnoteReference w:id="3"/>
      </w:r>
      <w:r w:rsidR="00B7688F">
        <w:rPr>
          <w:rFonts w:ascii="Bookman Old Style" w:hAnsi="Bookman Old Style"/>
          <w:sz w:val="24"/>
          <w:szCs w:val="24"/>
        </w:rPr>
        <w:t xml:space="preserve"> </w:t>
      </w:r>
    </w:p>
    <w:p w14:paraId="357408E0" w14:textId="07F1B3A5" w:rsidR="006F650D" w:rsidRDefault="006F650D" w:rsidP="009033C3">
      <w:pPr>
        <w:spacing w:line="360" w:lineRule="auto"/>
        <w:rPr>
          <w:rFonts w:ascii="Bookman Old Style" w:hAnsi="Bookman Old Style"/>
          <w:sz w:val="24"/>
          <w:szCs w:val="24"/>
        </w:rPr>
      </w:pPr>
      <w:r>
        <w:rPr>
          <w:rFonts w:ascii="Bookman Old Style" w:hAnsi="Bookman Old Style"/>
          <w:sz w:val="24"/>
          <w:szCs w:val="24"/>
        </w:rPr>
        <w:t xml:space="preserve">The right to freedom of </w:t>
      </w:r>
      <w:r w:rsidR="000C132D">
        <w:rPr>
          <w:rFonts w:ascii="Bookman Old Style" w:hAnsi="Bookman Old Style"/>
          <w:sz w:val="24"/>
          <w:szCs w:val="24"/>
        </w:rPr>
        <w:t>expression and right to privacy are interdependent on each other especially in this digital age</w:t>
      </w:r>
      <w:r w:rsidR="000C132D">
        <w:rPr>
          <w:rStyle w:val="FootnoteReference"/>
          <w:rFonts w:ascii="Bookman Old Style" w:hAnsi="Bookman Old Style"/>
          <w:sz w:val="24"/>
          <w:szCs w:val="24"/>
        </w:rPr>
        <w:footnoteReference w:id="4"/>
      </w:r>
      <w:r w:rsidR="004E59F3">
        <w:rPr>
          <w:rFonts w:ascii="Bookman Old Style" w:hAnsi="Bookman Old Style"/>
          <w:sz w:val="24"/>
          <w:szCs w:val="24"/>
        </w:rPr>
        <w:t xml:space="preserve"> for instance in order to foster debate online on any sensitive issue it is imperative that the individuals who participate in such dialogue have faith in the mechanisms (anonymity) protecting their privacy that they can effectively relay their ideas. On the other hand, if not for the acts of whistleblowers exercising their right to freedom of expression and uncovering mass </w:t>
      </w:r>
      <w:r w:rsidR="00814285">
        <w:rPr>
          <w:rFonts w:ascii="Bookman Old Style" w:hAnsi="Bookman Old Style"/>
          <w:sz w:val="24"/>
          <w:szCs w:val="24"/>
        </w:rPr>
        <w:t>data breaches</w:t>
      </w:r>
      <w:r w:rsidR="004E59F3">
        <w:rPr>
          <w:rFonts w:ascii="Bookman Old Style" w:hAnsi="Bookman Old Style"/>
          <w:sz w:val="24"/>
          <w:szCs w:val="24"/>
        </w:rPr>
        <w:t xml:space="preserve"> those breaches of privacy would never have been uncovered</w:t>
      </w:r>
      <w:r w:rsidR="00814285">
        <w:rPr>
          <w:rFonts w:ascii="Bookman Old Style" w:hAnsi="Bookman Old Style"/>
          <w:sz w:val="24"/>
          <w:szCs w:val="24"/>
        </w:rPr>
        <w:t xml:space="preserve"> for example the Cambridge Analytica Scandal.</w:t>
      </w:r>
      <w:r w:rsidR="004E59F3">
        <w:rPr>
          <w:rStyle w:val="FootnoteReference"/>
          <w:rFonts w:ascii="Bookman Old Style" w:hAnsi="Bookman Old Style"/>
          <w:sz w:val="24"/>
          <w:szCs w:val="24"/>
        </w:rPr>
        <w:footnoteReference w:id="5"/>
      </w:r>
      <w:r w:rsidR="00814285">
        <w:rPr>
          <w:rFonts w:ascii="Bookman Old Style" w:hAnsi="Bookman Old Style"/>
          <w:sz w:val="24"/>
          <w:szCs w:val="24"/>
        </w:rPr>
        <w:t xml:space="preserve">Therefore, it is necessary to protect both these rights effectively to create a safe and secure online environment. </w:t>
      </w:r>
      <w:r w:rsidR="00BD7D90">
        <w:rPr>
          <w:rFonts w:ascii="Bookman Old Style" w:hAnsi="Bookman Old Style"/>
          <w:sz w:val="24"/>
          <w:szCs w:val="24"/>
        </w:rPr>
        <w:t>Both of these r</w:t>
      </w:r>
      <w:r w:rsidR="00D82326">
        <w:rPr>
          <w:rFonts w:ascii="Bookman Old Style" w:hAnsi="Bookman Old Style"/>
          <w:sz w:val="24"/>
          <w:szCs w:val="24"/>
        </w:rPr>
        <w:t>ight</w:t>
      </w:r>
      <w:r w:rsidR="00BD7D90">
        <w:rPr>
          <w:rFonts w:ascii="Bookman Old Style" w:hAnsi="Bookman Old Style"/>
          <w:sz w:val="24"/>
          <w:szCs w:val="24"/>
        </w:rPr>
        <w:t>s are protected under</w:t>
      </w:r>
      <w:r w:rsidR="00D82326">
        <w:rPr>
          <w:rFonts w:ascii="Bookman Old Style" w:hAnsi="Bookman Old Style"/>
          <w:sz w:val="24"/>
          <w:szCs w:val="24"/>
        </w:rPr>
        <w:t xml:space="preserve"> the Universal Declaration of Human Rights (UDHR)</w:t>
      </w:r>
      <w:r w:rsidR="00D82326">
        <w:rPr>
          <w:rStyle w:val="FootnoteReference"/>
          <w:rFonts w:ascii="Bookman Old Style" w:hAnsi="Bookman Old Style"/>
          <w:sz w:val="24"/>
          <w:szCs w:val="24"/>
        </w:rPr>
        <w:footnoteReference w:id="6"/>
      </w:r>
      <w:r w:rsidR="00BD7D90">
        <w:rPr>
          <w:rFonts w:ascii="Bookman Old Style" w:hAnsi="Bookman Old Style"/>
          <w:sz w:val="24"/>
          <w:szCs w:val="24"/>
        </w:rPr>
        <w:t>, the International Covenant on Civil and Political Rights (ICCPR)</w:t>
      </w:r>
      <w:r w:rsidR="00BD7D90">
        <w:rPr>
          <w:rStyle w:val="FootnoteReference"/>
          <w:rFonts w:ascii="Bookman Old Style" w:hAnsi="Bookman Old Style"/>
          <w:sz w:val="24"/>
          <w:szCs w:val="24"/>
        </w:rPr>
        <w:footnoteReference w:id="7"/>
      </w:r>
      <w:r w:rsidR="00437226">
        <w:rPr>
          <w:rFonts w:ascii="Bookman Old Style" w:hAnsi="Bookman Old Style"/>
          <w:sz w:val="24"/>
          <w:szCs w:val="24"/>
        </w:rPr>
        <w:t xml:space="preserve"> and also the Indian Constitution as right to privacy has been recognised </w:t>
      </w:r>
      <w:r w:rsidR="00437226">
        <w:rPr>
          <w:rFonts w:ascii="Bookman Old Style" w:hAnsi="Bookman Old Style"/>
          <w:sz w:val="24"/>
          <w:szCs w:val="24"/>
        </w:rPr>
        <w:lastRenderedPageBreak/>
        <w:t xml:space="preserve">under </w:t>
      </w:r>
      <w:proofErr w:type="spellStart"/>
      <w:r w:rsidR="00437226">
        <w:rPr>
          <w:rFonts w:ascii="Bookman Old Style" w:hAnsi="Bookman Old Style"/>
          <w:sz w:val="24"/>
          <w:szCs w:val="24"/>
        </w:rPr>
        <w:t>Puttaswamy</w:t>
      </w:r>
      <w:proofErr w:type="spellEnd"/>
      <w:r w:rsidR="00437226">
        <w:rPr>
          <w:rFonts w:ascii="Bookman Old Style" w:hAnsi="Bookman Old Style"/>
          <w:sz w:val="24"/>
          <w:szCs w:val="24"/>
        </w:rPr>
        <w:t xml:space="preserve"> v. Union of India</w:t>
      </w:r>
      <w:r w:rsidR="00437226">
        <w:rPr>
          <w:rStyle w:val="FootnoteReference"/>
          <w:rFonts w:ascii="Bookman Old Style" w:hAnsi="Bookman Old Style"/>
          <w:sz w:val="24"/>
          <w:szCs w:val="24"/>
        </w:rPr>
        <w:footnoteReference w:id="8"/>
      </w:r>
      <w:r w:rsidR="00437226">
        <w:rPr>
          <w:rFonts w:ascii="Bookman Old Style" w:hAnsi="Bookman Old Style"/>
          <w:sz w:val="24"/>
          <w:szCs w:val="24"/>
        </w:rPr>
        <w:t xml:space="preserve"> and freedom of expression is already protected under article 19.</w:t>
      </w:r>
      <w:r w:rsidR="00437226">
        <w:rPr>
          <w:rStyle w:val="FootnoteReference"/>
          <w:rFonts w:ascii="Bookman Old Style" w:hAnsi="Bookman Old Style"/>
          <w:sz w:val="24"/>
          <w:szCs w:val="24"/>
        </w:rPr>
        <w:footnoteReference w:id="9"/>
      </w:r>
      <w:r w:rsidR="00437226">
        <w:rPr>
          <w:rFonts w:ascii="Bookman Old Style" w:hAnsi="Bookman Old Style"/>
          <w:sz w:val="24"/>
          <w:szCs w:val="24"/>
        </w:rPr>
        <w:t xml:space="preserve"> </w:t>
      </w:r>
    </w:p>
    <w:p w14:paraId="486AA80E" w14:textId="1D3878CC" w:rsidR="000C5070" w:rsidRPr="000C5070" w:rsidRDefault="000C5070" w:rsidP="009033C3">
      <w:pPr>
        <w:spacing w:line="360" w:lineRule="auto"/>
        <w:rPr>
          <w:rFonts w:ascii="Bookman Old Style" w:hAnsi="Bookman Old Style"/>
          <w:b/>
          <w:bCs/>
          <w:sz w:val="24"/>
          <w:szCs w:val="24"/>
        </w:rPr>
      </w:pPr>
      <w:r w:rsidRPr="000C5070">
        <w:rPr>
          <w:rFonts w:ascii="Bookman Old Style" w:hAnsi="Bookman Old Style"/>
          <w:b/>
          <w:bCs/>
          <w:sz w:val="24"/>
          <w:szCs w:val="24"/>
        </w:rPr>
        <w:t xml:space="preserve">Right to Anonymity under International Law </w:t>
      </w:r>
    </w:p>
    <w:p w14:paraId="297ECDAA" w14:textId="44E2B5F1" w:rsidR="00814285" w:rsidRDefault="000E2957" w:rsidP="009033C3">
      <w:pPr>
        <w:spacing w:line="360" w:lineRule="auto"/>
        <w:rPr>
          <w:rFonts w:ascii="Bookman Old Style" w:hAnsi="Bookman Old Style"/>
          <w:sz w:val="24"/>
          <w:szCs w:val="24"/>
        </w:rPr>
      </w:pPr>
      <w:r>
        <w:rPr>
          <w:rFonts w:ascii="Bookman Old Style" w:hAnsi="Bookman Old Style"/>
          <w:sz w:val="24"/>
          <w:szCs w:val="24"/>
        </w:rPr>
        <w:t>Under international law, anonymity as a right has not been recognised explicitly under freedom of expression but has found its recognition under some niche areas of communication</w:t>
      </w:r>
      <w:r w:rsidR="00FC026C">
        <w:rPr>
          <w:rFonts w:ascii="Bookman Old Style" w:hAnsi="Bookman Old Style"/>
          <w:sz w:val="24"/>
          <w:szCs w:val="24"/>
        </w:rPr>
        <w:t xml:space="preserve">, particularly concerning confidentiality of journalistic sources. In </w:t>
      </w:r>
      <w:proofErr w:type="spellStart"/>
      <w:r w:rsidR="00FC026C">
        <w:rPr>
          <w:rFonts w:ascii="Bookman Old Style" w:hAnsi="Bookman Old Style"/>
          <w:sz w:val="24"/>
          <w:szCs w:val="24"/>
        </w:rPr>
        <w:t>it’s</w:t>
      </w:r>
      <w:proofErr w:type="spellEnd"/>
      <w:r w:rsidR="00FC026C">
        <w:rPr>
          <w:rFonts w:ascii="Bookman Old Style" w:hAnsi="Bookman Old Style"/>
          <w:sz w:val="24"/>
          <w:szCs w:val="24"/>
        </w:rPr>
        <w:t xml:space="preserve"> General comment no. 34 the UN Human Rights Committee noted that:</w:t>
      </w:r>
    </w:p>
    <w:p w14:paraId="20C2641A" w14:textId="2E6043D8" w:rsidR="00FC026C" w:rsidRPr="003E3480" w:rsidRDefault="00FC026C" w:rsidP="003E3480">
      <w:pPr>
        <w:spacing w:line="360" w:lineRule="auto"/>
        <w:ind w:left="720"/>
        <w:rPr>
          <w:rFonts w:ascii="Bookman Old Style" w:hAnsi="Bookman Old Style"/>
          <w:i/>
          <w:iCs/>
          <w:sz w:val="24"/>
          <w:szCs w:val="24"/>
        </w:rPr>
      </w:pPr>
      <w:r w:rsidRPr="003E3480">
        <w:rPr>
          <w:rFonts w:ascii="Bookman Old Style" w:hAnsi="Bookman Old Style"/>
          <w:i/>
          <w:iCs/>
          <w:sz w:val="24"/>
          <w:szCs w:val="24"/>
        </w:rPr>
        <w:t xml:space="preserve">“State parties should recognize and respect that element of the right </w:t>
      </w:r>
      <w:r w:rsidR="00672269" w:rsidRPr="003E3480">
        <w:rPr>
          <w:rFonts w:ascii="Bookman Old Style" w:hAnsi="Bookman Old Style"/>
          <w:i/>
          <w:iCs/>
          <w:sz w:val="24"/>
          <w:szCs w:val="24"/>
        </w:rPr>
        <w:t>of freedom of expression that embraces the limited journalistic privileged not to disclose information sources.”</w:t>
      </w:r>
      <w:r w:rsidR="00672269" w:rsidRPr="003E3480">
        <w:rPr>
          <w:rStyle w:val="FootnoteReference"/>
          <w:rFonts w:ascii="Bookman Old Style" w:hAnsi="Bookman Old Style"/>
          <w:i/>
          <w:iCs/>
          <w:sz w:val="24"/>
          <w:szCs w:val="24"/>
        </w:rPr>
        <w:footnoteReference w:id="10"/>
      </w:r>
    </w:p>
    <w:p w14:paraId="0C8D48AA" w14:textId="66716554" w:rsidR="00672269" w:rsidRDefault="0061045A" w:rsidP="009033C3">
      <w:pPr>
        <w:spacing w:line="360" w:lineRule="auto"/>
        <w:rPr>
          <w:rFonts w:ascii="Bookman Old Style" w:hAnsi="Bookman Old Style"/>
          <w:sz w:val="24"/>
          <w:szCs w:val="24"/>
        </w:rPr>
      </w:pPr>
      <w:r>
        <w:rPr>
          <w:rFonts w:ascii="Bookman Old Style" w:hAnsi="Bookman Old Style"/>
          <w:sz w:val="24"/>
          <w:szCs w:val="24"/>
        </w:rPr>
        <w:t>Whistleblower</w:t>
      </w:r>
      <w:r w:rsidR="00F31A19">
        <w:rPr>
          <w:rFonts w:ascii="Bookman Old Style" w:hAnsi="Bookman Old Style"/>
          <w:sz w:val="24"/>
          <w:szCs w:val="24"/>
        </w:rPr>
        <w:t xml:space="preserve"> anonymity is</w:t>
      </w:r>
      <w:r>
        <w:rPr>
          <w:rFonts w:ascii="Bookman Old Style" w:hAnsi="Bookman Old Style"/>
          <w:sz w:val="24"/>
          <w:szCs w:val="24"/>
        </w:rPr>
        <w:t xml:space="preserve"> also protected</w:t>
      </w:r>
      <w:r w:rsidR="00F31A19">
        <w:rPr>
          <w:rFonts w:ascii="Bookman Old Style" w:hAnsi="Bookman Old Style"/>
          <w:sz w:val="24"/>
          <w:szCs w:val="24"/>
        </w:rPr>
        <w:t xml:space="preserve"> by the European court of Human Rights</w:t>
      </w:r>
      <w:r w:rsidR="001F58F2">
        <w:rPr>
          <w:rStyle w:val="FootnoteReference"/>
          <w:rFonts w:ascii="Bookman Old Style" w:hAnsi="Bookman Old Style"/>
          <w:sz w:val="24"/>
          <w:szCs w:val="24"/>
        </w:rPr>
        <w:footnoteReference w:id="11"/>
      </w:r>
      <w:r w:rsidR="001F58F2">
        <w:rPr>
          <w:rFonts w:ascii="Bookman Old Style" w:hAnsi="Bookman Old Style"/>
          <w:sz w:val="24"/>
          <w:szCs w:val="24"/>
        </w:rPr>
        <w:t xml:space="preserve"> and this protection also forms part of the protection of sources principle XV of the declaration of principles of freedom of expression in Africa adopted by the </w:t>
      </w:r>
      <w:r w:rsidR="001F58F2" w:rsidRPr="001F58F2">
        <w:rPr>
          <w:rFonts w:ascii="Bookman Old Style" w:hAnsi="Bookman Old Style"/>
          <w:sz w:val="24"/>
          <w:szCs w:val="24"/>
        </w:rPr>
        <w:t>African Commission on Human and Peoples’ Rights</w:t>
      </w:r>
      <w:r w:rsidR="001F58F2">
        <w:rPr>
          <w:rFonts w:ascii="Bookman Old Style" w:hAnsi="Bookman Old Style"/>
          <w:sz w:val="24"/>
          <w:szCs w:val="24"/>
        </w:rPr>
        <w:t xml:space="preserve"> in its 65</w:t>
      </w:r>
      <w:r w:rsidR="001F58F2" w:rsidRPr="001F58F2">
        <w:rPr>
          <w:rFonts w:ascii="Bookman Old Style" w:hAnsi="Bookman Old Style"/>
          <w:sz w:val="24"/>
          <w:szCs w:val="24"/>
          <w:vertAlign w:val="superscript"/>
        </w:rPr>
        <w:t>th</w:t>
      </w:r>
      <w:r w:rsidR="001F58F2">
        <w:rPr>
          <w:rFonts w:ascii="Bookman Old Style" w:hAnsi="Bookman Old Style"/>
          <w:sz w:val="24"/>
          <w:szCs w:val="24"/>
        </w:rPr>
        <w:t xml:space="preserve"> ordinary session.</w:t>
      </w:r>
      <w:r w:rsidR="001F58F2">
        <w:rPr>
          <w:rStyle w:val="FootnoteReference"/>
          <w:rFonts w:ascii="Bookman Old Style" w:hAnsi="Bookman Old Style"/>
          <w:sz w:val="24"/>
          <w:szCs w:val="24"/>
        </w:rPr>
        <w:footnoteReference w:id="12"/>
      </w:r>
      <w:r w:rsidR="001F58F2">
        <w:rPr>
          <w:rFonts w:ascii="Bookman Old Style" w:hAnsi="Bookman Old Style"/>
          <w:sz w:val="24"/>
          <w:szCs w:val="24"/>
        </w:rPr>
        <w:t>The Inter-American Commission on Human rights have adopted similar principles called the Declaration of Principles on Freedom of expression and gives recognition to keep sources confidential.</w:t>
      </w:r>
      <w:r w:rsidR="001F58F2">
        <w:rPr>
          <w:rStyle w:val="FootnoteReference"/>
          <w:rFonts w:ascii="Bookman Old Style" w:hAnsi="Bookman Old Style"/>
          <w:sz w:val="24"/>
          <w:szCs w:val="24"/>
        </w:rPr>
        <w:footnoteReference w:id="13"/>
      </w:r>
      <w:r w:rsidR="001F58F2">
        <w:rPr>
          <w:rFonts w:ascii="Bookman Old Style" w:hAnsi="Bookman Old Style"/>
          <w:sz w:val="24"/>
          <w:szCs w:val="24"/>
        </w:rPr>
        <w:t xml:space="preserve"> </w:t>
      </w:r>
    </w:p>
    <w:p w14:paraId="13436FEC" w14:textId="685BC9ED" w:rsidR="000C5070" w:rsidRPr="000C5070" w:rsidRDefault="000C5070" w:rsidP="009033C3">
      <w:pPr>
        <w:spacing w:line="360" w:lineRule="auto"/>
        <w:rPr>
          <w:rFonts w:ascii="Bookman Old Style" w:hAnsi="Bookman Old Style"/>
          <w:b/>
          <w:bCs/>
          <w:sz w:val="24"/>
          <w:szCs w:val="24"/>
        </w:rPr>
      </w:pPr>
      <w:r w:rsidRPr="000C5070">
        <w:rPr>
          <w:rFonts w:ascii="Bookman Old Style" w:hAnsi="Bookman Old Style"/>
          <w:b/>
          <w:bCs/>
          <w:sz w:val="24"/>
          <w:szCs w:val="24"/>
        </w:rPr>
        <w:t xml:space="preserve">Right to Anonymity under domestic law </w:t>
      </w:r>
    </w:p>
    <w:p w14:paraId="2CDB1F16" w14:textId="48E092BB" w:rsidR="00400F99" w:rsidRDefault="000626CB" w:rsidP="009033C3">
      <w:pPr>
        <w:spacing w:line="360" w:lineRule="auto"/>
        <w:rPr>
          <w:rFonts w:ascii="Bookman Old Style" w:hAnsi="Bookman Old Style"/>
          <w:sz w:val="24"/>
          <w:szCs w:val="24"/>
        </w:rPr>
      </w:pPr>
      <w:r>
        <w:rPr>
          <w:rFonts w:ascii="Bookman Old Style" w:hAnsi="Bookman Old Style"/>
          <w:sz w:val="24"/>
          <w:szCs w:val="24"/>
        </w:rPr>
        <w:t xml:space="preserve">Under Domestic jurisdictions anonymity is afforded utmost protection in the </w:t>
      </w:r>
      <w:r w:rsidR="0030195B">
        <w:rPr>
          <w:rFonts w:ascii="Bookman Old Style" w:hAnsi="Bookman Old Style"/>
          <w:sz w:val="24"/>
          <w:szCs w:val="24"/>
        </w:rPr>
        <w:t>United States</w:t>
      </w:r>
      <w:r>
        <w:rPr>
          <w:rFonts w:ascii="Bookman Old Style" w:hAnsi="Bookman Old Style"/>
          <w:sz w:val="24"/>
          <w:szCs w:val="24"/>
        </w:rPr>
        <w:t xml:space="preserve">, the US Supreme </w:t>
      </w:r>
      <w:r w:rsidR="0030195B">
        <w:rPr>
          <w:rFonts w:ascii="Bookman Old Style" w:hAnsi="Bookman Old Style"/>
          <w:sz w:val="24"/>
          <w:szCs w:val="24"/>
        </w:rPr>
        <w:t>Court</w:t>
      </w:r>
      <w:r w:rsidR="00741D36">
        <w:rPr>
          <w:rFonts w:ascii="Bookman Old Style" w:hAnsi="Bookman Old Style"/>
          <w:sz w:val="24"/>
          <w:szCs w:val="24"/>
        </w:rPr>
        <w:t xml:space="preserve"> </w:t>
      </w:r>
      <w:r w:rsidR="007864D3">
        <w:rPr>
          <w:rFonts w:ascii="Bookman Old Style" w:hAnsi="Bookman Old Style"/>
          <w:sz w:val="24"/>
          <w:szCs w:val="24"/>
        </w:rPr>
        <w:t>in the case of NCAAP v. Alabama</w:t>
      </w:r>
      <w:r w:rsidR="007864D3">
        <w:rPr>
          <w:rStyle w:val="FootnoteReference"/>
          <w:rFonts w:ascii="Bookman Old Style" w:hAnsi="Bookman Old Style"/>
          <w:sz w:val="24"/>
          <w:szCs w:val="24"/>
        </w:rPr>
        <w:footnoteReference w:id="14"/>
      </w:r>
      <w:r w:rsidR="00EF47E8">
        <w:rPr>
          <w:rFonts w:ascii="Bookman Old Style" w:hAnsi="Bookman Old Style"/>
          <w:sz w:val="24"/>
          <w:szCs w:val="24"/>
        </w:rPr>
        <w:t xml:space="preserve"> the state government wanted NCAAP to release the list of its members.</w:t>
      </w:r>
      <w:r w:rsidR="00EF47E8">
        <w:rPr>
          <w:rStyle w:val="FootnoteReference"/>
          <w:rFonts w:ascii="Bookman Old Style" w:hAnsi="Bookman Old Style"/>
          <w:sz w:val="24"/>
          <w:szCs w:val="24"/>
        </w:rPr>
        <w:footnoteReference w:id="15"/>
      </w:r>
      <w:r w:rsidR="00EF47E8">
        <w:rPr>
          <w:rFonts w:ascii="Bookman Old Style" w:hAnsi="Bookman Old Style"/>
          <w:sz w:val="24"/>
          <w:szCs w:val="24"/>
        </w:rPr>
        <w:t xml:space="preserve">The US Supreme Court </w:t>
      </w:r>
      <w:r w:rsidR="004A068F">
        <w:rPr>
          <w:rFonts w:ascii="Bookman Old Style" w:hAnsi="Bookman Old Style"/>
          <w:sz w:val="24"/>
          <w:szCs w:val="24"/>
        </w:rPr>
        <w:t>stated that</w:t>
      </w:r>
      <w:r w:rsidR="00400F99">
        <w:rPr>
          <w:rFonts w:ascii="Bookman Old Style" w:hAnsi="Bookman Old Style"/>
          <w:sz w:val="24"/>
          <w:szCs w:val="24"/>
        </w:rPr>
        <w:t>:</w:t>
      </w:r>
      <w:r w:rsidR="004A068F">
        <w:rPr>
          <w:rFonts w:ascii="Bookman Old Style" w:hAnsi="Bookman Old Style"/>
          <w:sz w:val="24"/>
          <w:szCs w:val="24"/>
        </w:rPr>
        <w:t xml:space="preserve"> </w:t>
      </w:r>
    </w:p>
    <w:p w14:paraId="73B02DF9" w14:textId="77777777" w:rsidR="00400F99" w:rsidRPr="00400F99" w:rsidRDefault="004A068F" w:rsidP="009033C3">
      <w:pPr>
        <w:spacing w:line="360" w:lineRule="auto"/>
        <w:ind w:left="720"/>
        <w:rPr>
          <w:rFonts w:ascii="Bookman Old Style" w:hAnsi="Bookman Old Style"/>
          <w:i/>
          <w:iCs/>
          <w:sz w:val="24"/>
          <w:szCs w:val="24"/>
        </w:rPr>
      </w:pPr>
      <w:r w:rsidRPr="00400F99">
        <w:rPr>
          <w:rFonts w:ascii="Bookman Old Style" w:hAnsi="Bookman Old Style"/>
          <w:i/>
          <w:iCs/>
          <w:sz w:val="24"/>
          <w:szCs w:val="24"/>
        </w:rPr>
        <w:lastRenderedPageBreak/>
        <w:t>“privacy in group association may in many circumstances be indispensable to preservation of freedom of association, particularly where a group espouses dissident beliefs.”</w:t>
      </w:r>
      <w:r w:rsidR="00A3461F" w:rsidRPr="00400F99">
        <w:rPr>
          <w:rStyle w:val="FootnoteReference"/>
          <w:rFonts w:ascii="Bookman Old Style" w:hAnsi="Bookman Old Style"/>
          <w:i/>
          <w:iCs/>
          <w:sz w:val="24"/>
          <w:szCs w:val="24"/>
        </w:rPr>
        <w:footnoteReference w:id="16"/>
      </w:r>
      <w:r w:rsidR="007D3F38" w:rsidRPr="00400F99">
        <w:rPr>
          <w:rFonts w:ascii="Bookman Old Style" w:hAnsi="Bookman Old Style"/>
          <w:i/>
          <w:iCs/>
          <w:sz w:val="24"/>
          <w:szCs w:val="24"/>
        </w:rPr>
        <w:t xml:space="preserve"> </w:t>
      </w:r>
    </w:p>
    <w:p w14:paraId="5D0DD8D5" w14:textId="6D4463A9" w:rsidR="000626CB" w:rsidRDefault="007D3F38" w:rsidP="009033C3">
      <w:pPr>
        <w:spacing w:line="360" w:lineRule="auto"/>
        <w:rPr>
          <w:rFonts w:ascii="Bookman Old Style" w:hAnsi="Bookman Old Style"/>
          <w:sz w:val="24"/>
          <w:szCs w:val="24"/>
        </w:rPr>
      </w:pPr>
      <w:r>
        <w:rPr>
          <w:rFonts w:ascii="Bookman Old Style" w:hAnsi="Bookman Old Style"/>
          <w:sz w:val="24"/>
          <w:szCs w:val="24"/>
        </w:rPr>
        <w:t>Additionally, in Talley v. California the US Supreme court held a city ordinance unconstitutional because it prohibited distribution of anonymous pamphlets, which violated the first amendment.</w:t>
      </w:r>
      <w:r>
        <w:rPr>
          <w:rStyle w:val="FootnoteReference"/>
          <w:rFonts w:ascii="Bookman Old Style" w:hAnsi="Bookman Old Style"/>
          <w:sz w:val="24"/>
          <w:szCs w:val="24"/>
        </w:rPr>
        <w:footnoteReference w:id="17"/>
      </w:r>
      <w:r>
        <w:rPr>
          <w:rFonts w:ascii="Bookman Old Style" w:hAnsi="Bookman Old Style"/>
          <w:sz w:val="24"/>
          <w:szCs w:val="24"/>
        </w:rPr>
        <w:t>The right to anonymous speech was also explicitly recognised in the case of McIntyre v. Ohio Elections Commissions</w:t>
      </w:r>
      <w:r>
        <w:rPr>
          <w:rStyle w:val="FootnoteReference"/>
          <w:rFonts w:ascii="Bookman Old Style" w:hAnsi="Bookman Old Style"/>
          <w:sz w:val="24"/>
          <w:szCs w:val="24"/>
        </w:rPr>
        <w:footnoteReference w:id="18"/>
      </w:r>
      <w:r>
        <w:rPr>
          <w:rFonts w:ascii="Bookman Old Style" w:hAnsi="Bookman Old Style"/>
          <w:sz w:val="24"/>
          <w:szCs w:val="24"/>
        </w:rPr>
        <w:t xml:space="preserve"> where the Supreme Court invalidated a statute that required voter influencing materials to be signed, the court state</w:t>
      </w:r>
      <w:r w:rsidR="004A068F">
        <w:rPr>
          <w:rFonts w:ascii="Bookman Old Style" w:hAnsi="Bookman Old Style"/>
          <w:sz w:val="24"/>
          <w:szCs w:val="24"/>
        </w:rPr>
        <w:t>d</w:t>
      </w:r>
      <w:r>
        <w:rPr>
          <w:rFonts w:ascii="Bookman Old Style" w:hAnsi="Bookman Old Style"/>
          <w:sz w:val="24"/>
          <w:szCs w:val="24"/>
        </w:rPr>
        <w:t xml:space="preserve"> that anonymity is an honourable tradition of advocacy and of dissent.</w:t>
      </w:r>
      <w:r w:rsidR="00823C6E">
        <w:rPr>
          <w:rFonts w:ascii="Bookman Old Style" w:hAnsi="Bookman Old Style"/>
          <w:sz w:val="24"/>
          <w:szCs w:val="24"/>
        </w:rPr>
        <w:t xml:space="preserve"> Right to read anonymously was also granted in the case of United States v. </w:t>
      </w:r>
      <w:proofErr w:type="spellStart"/>
      <w:r w:rsidR="00823C6E">
        <w:rPr>
          <w:rFonts w:ascii="Bookman Old Style" w:hAnsi="Bookman Old Style"/>
          <w:sz w:val="24"/>
          <w:szCs w:val="24"/>
        </w:rPr>
        <w:t>Rumely</w:t>
      </w:r>
      <w:proofErr w:type="spellEnd"/>
      <w:r w:rsidR="00823C6E">
        <w:rPr>
          <w:rFonts w:ascii="Bookman Old Style" w:hAnsi="Bookman Old Style"/>
          <w:sz w:val="24"/>
          <w:szCs w:val="24"/>
        </w:rPr>
        <w:t>.</w:t>
      </w:r>
      <w:r w:rsidR="00823C6E">
        <w:rPr>
          <w:rStyle w:val="FootnoteReference"/>
          <w:rFonts w:ascii="Bookman Old Style" w:hAnsi="Bookman Old Style"/>
          <w:sz w:val="24"/>
          <w:szCs w:val="24"/>
        </w:rPr>
        <w:footnoteReference w:id="19"/>
      </w:r>
    </w:p>
    <w:p w14:paraId="53D2D0D1" w14:textId="3CDBBB5C" w:rsidR="007D3F38" w:rsidRDefault="00A91212" w:rsidP="009033C3">
      <w:pPr>
        <w:spacing w:line="360" w:lineRule="auto"/>
        <w:rPr>
          <w:rFonts w:ascii="Bookman Old Style" w:hAnsi="Bookman Old Style"/>
          <w:sz w:val="24"/>
          <w:szCs w:val="24"/>
        </w:rPr>
      </w:pPr>
      <w:r>
        <w:rPr>
          <w:rFonts w:ascii="Bookman Old Style" w:hAnsi="Bookman Old Style"/>
          <w:sz w:val="24"/>
          <w:szCs w:val="24"/>
        </w:rPr>
        <w:t xml:space="preserve">Confidentiality of sources is also recognised in the domestic laws of central and south America, Europe and Africa. Whereas the right to vote anonymously </w:t>
      </w:r>
      <w:r w:rsidR="000C5070">
        <w:rPr>
          <w:rFonts w:ascii="Bookman Old Style" w:hAnsi="Bookman Old Style"/>
          <w:sz w:val="24"/>
          <w:szCs w:val="24"/>
        </w:rPr>
        <w:t>is given a broader recognition.</w:t>
      </w:r>
      <w:r w:rsidR="00710000">
        <w:rPr>
          <w:rStyle w:val="FootnoteReference"/>
          <w:rFonts w:ascii="Bookman Old Style" w:hAnsi="Bookman Old Style"/>
          <w:sz w:val="24"/>
          <w:szCs w:val="24"/>
        </w:rPr>
        <w:footnoteReference w:id="20"/>
      </w:r>
    </w:p>
    <w:p w14:paraId="4642EC01" w14:textId="1613063B" w:rsidR="000C5070" w:rsidRDefault="000C5070" w:rsidP="009033C3">
      <w:pPr>
        <w:spacing w:line="360" w:lineRule="auto"/>
        <w:rPr>
          <w:rFonts w:ascii="Bookman Old Style" w:hAnsi="Bookman Old Style"/>
          <w:b/>
          <w:bCs/>
          <w:sz w:val="24"/>
          <w:szCs w:val="24"/>
        </w:rPr>
      </w:pPr>
      <w:r w:rsidRPr="000C5070">
        <w:rPr>
          <w:rFonts w:ascii="Bookman Old Style" w:hAnsi="Bookman Old Style"/>
          <w:b/>
          <w:bCs/>
          <w:sz w:val="24"/>
          <w:szCs w:val="24"/>
        </w:rPr>
        <w:t xml:space="preserve">Right to online anonymity </w:t>
      </w:r>
      <w:r w:rsidR="00C81267">
        <w:rPr>
          <w:rFonts w:ascii="Bookman Old Style" w:hAnsi="Bookman Old Style"/>
          <w:b/>
          <w:bCs/>
          <w:sz w:val="24"/>
          <w:szCs w:val="24"/>
        </w:rPr>
        <w:t xml:space="preserve">under </w:t>
      </w:r>
      <w:r w:rsidR="000E37B6">
        <w:rPr>
          <w:rFonts w:ascii="Bookman Old Style" w:hAnsi="Bookman Old Style"/>
          <w:b/>
          <w:bCs/>
          <w:sz w:val="24"/>
          <w:szCs w:val="24"/>
        </w:rPr>
        <w:t>international</w:t>
      </w:r>
      <w:r w:rsidR="00C81267">
        <w:rPr>
          <w:rFonts w:ascii="Bookman Old Style" w:hAnsi="Bookman Old Style"/>
          <w:b/>
          <w:bCs/>
          <w:sz w:val="24"/>
          <w:szCs w:val="24"/>
        </w:rPr>
        <w:t xml:space="preserve"> law </w:t>
      </w:r>
    </w:p>
    <w:p w14:paraId="03A158F0" w14:textId="5C2BDB9C" w:rsidR="000C5070" w:rsidRDefault="000C5070" w:rsidP="009033C3">
      <w:pPr>
        <w:spacing w:line="360" w:lineRule="auto"/>
        <w:rPr>
          <w:rFonts w:ascii="Bookman Old Style" w:hAnsi="Bookman Old Style"/>
          <w:sz w:val="24"/>
          <w:szCs w:val="24"/>
        </w:rPr>
      </w:pPr>
      <w:r>
        <w:rPr>
          <w:rFonts w:ascii="Bookman Old Style" w:hAnsi="Bookman Old Style"/>
          <w:sz w:val="24"/>
          <w:szCs w:val="24"/>
        </w:rPr>
        <w:t>Right to online anonymity is in a similar situation as the general right to anonymity and has received limited recognition under International Law. The 2015 Report of the UN Rapporteur</w:t>
      </w:r>
      <w:r w:rsidR="00241BFD">
        <w:rPr>
          <w:rFonts w:ascii="Bookman Old Style" w:hAnsi="Bookman Old Style"/>
          <w:sz w:val="24"/>
          <w:szCs w:val="24"/>
        </w:rPr>
        <w:t xml:space="preserve"> recognised the role anonymity played in protecting privacy and free expression</w:t>
      </w:r>
      <w:r w:rsidR="003035AF">
        <w:rPr>
          <w:rFonts w:ascii="Bookman Old Style" w:hAnsi="Bookman Old Style"/>
          <w:sz w:val="24"/>
          <w:szCs w:val="24"/>
        </w:rPr>
        <w:t>.</w:t>
      </w:r>
      <w:r w:rsidR="003035AF">
        <w:rPr>
          <w:rStyle w:val="FootnoteReference"/>
          <w:rFonts w:ascii="Bookman Old Style" w:hAnsi="Bookman Old Style"/>
          <w:sz w:val="24"/>
          <w:szCs w:val="24"/>
        </w:rPr>
        <w:footnoteReference w:id="21"/>
      </w:r>
      <w:r w:rsidR="003035AF">
        <w:rPr>
          <w:rFonts w:ascii="Bookman Old Style" w:hAnsi="Bookman Old Style"/>
          <w:sz w:val="24"/>
          <w:szCs w:val="24"/>
        </w:rPr>
        <w:t xml:space="preserve">The </w:t>
      </w:r>
      <w:r w:rsidR="00630300">
        <w:rPr>
          <w:rFonts w:ascii="Bookman Old Style" w:hAnsi="Bookman Old Style"/>
          <w:sz w:val="24"/>
          <w:szCs w:val="24"/>
        </w:rPr>
        <w:t xml:space="preserve">Special Rapporteur on the freedom of expression of the </w:t>
      </w:r>
      <w:r w:rsidR="003035AF">
        <w:rPr>
          <w:rFonts w:ascii="Bookman Old Style" w:hAnsi="Bookman Old Style"/>
          <w:sz w:val="24"/>
          <w:szCs w:val="24"/>
        </w:rPr>
        <w:t xml:space="preserve">Inter American </w:t>
      </w:r>
      <w:r w:rsidR="00630300">
        <w:rPr>
          <w:rFonts w:ascii="Bookman Old Style" w:hAnsi="Bookman Old Style"/>
          <w:sz w:val="24"/>
          <w:szCs w:val="24"/>
        </w:rPr>
        <w:t>Commission o</w:t>
      </w:r>
      <w:r w:rsidR="0092173A">
        <w:rPr>
          <w:rFonts w:ascii="Bookman Old Style" w:hAnsi="Bookman Old Style"/>
          <w:sz w:val="24"/>
          <w:szCs w:val="24"/>
        </w:rPr>
        <w:t>n</w:t>
      </w:r>
      <w:r w:rsidR="00630300">
        <w:rPr>
          <w:rFonts w:ascii="Bookman Old Style" w:hAnsi="Bookman Old Style"/>
          <w:sz w:val="24"/>
          <w:szCs w:val="24"/>
        </w:rPr>
        <w:t xml:space="preserve"> Human Rights also recognises anonymity as a tool to protect privacy and freedom of expression.</w:t>
      </w:r>
      <w:r w:rsidR="00630300">
        <w:rPr>
          <w:rStyle w:val="FootnoteReference"/>
          <w:rFonts w:ascii="Bookman Old Style" w:hAnsi="Bookman Old Style"/>
          <w:sz w:val="24"/>
          <w:szCs w:val="24"/>
        </w:rPr>
        <w:footnoteReference w:id="22"/>
      </w:r>
      <w:r w:rsidR="004C7A24">
        <w:rPr>
          <w:rFonts w:ascii="Bookman Old Style" w:hAnsi="Bookman Old Style"/>
          <w:sz w:val="24"/>
          <w:szCs w:val="24"/>
        </w:rPr>
        <w:t xml:space="preserve"> The Council of Europe </w:t>
      </w:r>
      <w:r w:rsidR="00BB576D">
        <w:rPr>
          <w:rFonts w:ascii="Bookman Old Style" w:hAnsi="Bookman Old Style"/>
          <w:sz w:val="24"/>
          <w:szCs w:val="24"/>
        </w:rPr>
        <w:t xml:space="preserve">adopted </w:t>
      </w:r>
      <w:r w:rsidR="00C96FF5">
        <w:rPr>
          <w:rFonts w:ascii="Bookman Old Style" w:hAnsi="Bookman Old Style"/>
          <w:sz w:val="24"/>
          <w:szCs w:val="24"/>
        </w:rPr>
        <w:t>the D</w:t>
      </w:r>
      <w:r w:rsidR="00BB576D">
        <w:rPr>
          <w:rFonts w:ascii="Bookman Old Style" w:hAnsi="Bookman Old Style"/>
          <w:sz w:val="24"/>
          <w:szCs w:val="24"/>
        </w:rPr>
        <w:t xml:space="preserve">eclaration on freedom of communication on the internet, which recognised anonymity and the state’s obligation to protect the users who did not want to disclose their </w:t>
      </w:r>
      <w:r w:rsidR="00BB576D">
        <w:rPr>
          <w:rFonts w:ascii="Bookman Old Style" w:hAnsi="Bookman Old Style"/>
          <w:sz w:val="24"/>
          <w:szCs w:val="24"/>
        </w:rPr>
        <w:lastRenderedPageBreak/>
        <w:t>identity.</w:t>
      </w:r>
      <w:r w:rsidR="00BB576D">
        <w:rPr>
          <w:rStyle w:val="FootnoteReference"/>
          <w:rFonts w:ascii="Bookman Old Style" w:hAnsi="Bookman Old Style"/>
          <w:sz w:val="24"/>
          <w:szCs w:val="24"/>
        </w:rPr>
        <w:footnoteReference w:id="23"/>
      </w:r>
      <w:r w:rsidR="00C96FF5">
        <w:rPr>
          <w:rFonts w:ascii="Bookman Old Style" w:hAnsi="Bookman Old Style"/>
          <w:sz w:val="24"/>
          <w:szCs w:val="24"/>
        </w:rPr>
        <w:t>Similarly t</w:t>
      </w:r>
      <w:r w:rsidR="00BB576D">
        <w:rPr>
          <w:rFonts w:ascii="Bookman Old Style" w:hAnsi="Bookman Old Style"/>
          <w:sz w:val="24"/>
          <w:szCs w:val="24"/>
        </w:rPr>
        <w:t>he European Court of Human Rights in the case of K.U. v. Finland</w:t>
      </w:r>
      <w:r w:rsidR="00696E47">
        <w:rPr>
          <w:rStyle w:val="FootnoteReference"/>
          <w:rFonts w:ascii="Bookman Old Style" w:hAnsi="Bookman Old Style"/>
          <w:sz w:val="24"/>
          <w:szCs w:val="24"/>
        </w:rPr>
        <w:footnoteReference w:id="24"/>
      </w:r>
      <w:r w:rsidR="00BB576D">
        <w:rPr>
          <w:rFonts w:ascii="Bookman Old Style" w:hAnsi="Bookman Old Style"/>
          <w:sz w:val="24"/>
          <w:szCs w:val="24"/>
        </w:rPr>
        <w:t xml:space="preserve"> </w:t>
      </w:r>
      <w:r w:rsidR="004A068F">
        <w:rPr>
          <w:rFonts w:ascii="Bookman Old Style" w:hAnsi="Bookman Old Style"/>
          <w:sz w:val="24"/>
          <w:szCs w:val="24"/>
        </w:rPr>
        <w:t>recognizing the importance of confidentiality for freedom of expression, stated that such confidentiality cannot be of an absolute nature and must give way for legitimate reasons for instance prevention of crime.</w:t>
      </w:r>
      <w:r w:rsidR="004A068F">
        <w:rPr>
          <w:rStyle w:val="FootnoteReference"/>
          <w:rFonts w:ascii="Bookman Old Style" w:hAnsi="Bookman Old Style"/>
          <w:sz w:val="24"/>
          <w:szCs w:val="24"/>
        </w:rPr>
        <w:footnoteReference w:id="25"/>
      </w:r>
      <w:r w:rsidR="004A068F">
        <w:rPr>
          <w:rFonts w:ascii="Bookman Old Style" w:hAnsi="Bookman Old Style"/>
          <w:sz w:val="24"/>
          <w:szCs w:val="24"/>
        </w:rPr>
        <w:t xml:space="preserve"> In this case </w:t>
      </w:r>
      <w:r w:rsidR="00BB576D">
        <w:rPr>
          <w:rFonts w:ascii="Bookman Old Style" w:hAnsi="Bookman Old Style"/>
          <w:sz w:val="24"/>
          <w:szCs w:val="24"/>
        </w:rPr>
        <w:t>an unidentified person posted an online advertisement</w:t>
      </w:r>
      <w:r w:rsidR="00696E47">
        <w:rPr>
          <w:rFonts w:ascii="Bookman Old Style" w:hAnsi="Bookman Old Style"/>
          <w:sz w:val="24"/>
          <w:szCs w:val="24"/>
        </w:rPr>
        <w:t xml:space="preserve"> on a dating site</w:t>
      </w:r>
      <w:r w:rsidR="00BB576D">
        <w:rPr>
          <w:rFonts w:ascii="Bookman Old Style" w:hAnsi="Bookman Old Style"/>
          <w:sz w:val="24"/>
          <w:szCs w:val="24"/>
        </w:rPr>
        <w:t xml:space="preserve"> regarding a minor mentioning his details</w:t>
      </w:r>
      <w:r w:rsidR="00696E47">
        <w:rPr>
          <w:rFonts w:ascii="Bookman Old Style" w:hAnsi="Bookman Old Style"/>
          <w:sz w:val="24"/>
          <w:szCs w:val="24"/>
        </w:rPr>
        <w:t>, on a complaint by the father the police wanted the service provider to identify the user who posted the advertisement however due to confidentiality of telecommunications and the lack of legislative provisions for identifying individuals for investigative purposes, the service provider refused the request. This stance of the European Court was further confirmed in the case of Delfi v. Estonia</w:t>
      </w:r>
      <w:r w:rsidR="00B66D22">
        <w:rPr>
          <w:rFonts w:ascii="Bookman Old Style" w:hAnsi="Bookman Old Style"/>
          <w:sz w:val="24"/>
          <w:szCs w:val="24"/>
        </w:rPr>
        <w:t xml:space="preserve"> </w:t>
      </w:r>
      <w:r w:rsidR="004A068F">
        <w:rPr>
          <w:rFonts w:ascii="Bookman Old Style" w:hAnsi="Bookman Old Style"/>
          <w:sz w:val="24"/>
          <w:szCs w:val="24"/>
        </w:rPr>
        <w:t>where the court</w:t>
      </w:r>
      <w:r w:rsidR="00B66D22">
        <w:rPr>
          <w:rFonts w:ascii="Bookman Old Style" w:hAnsi="Bookman Old Style"/>
          <w:sz w:val="24"/>
          <w:szCs w:val="24"/>
        </w:rPr>
        <w:t xml:space="preserve"> stated that while essential</w:t>
      </w:r>
      <w:r w:rsidR="004A068F">
        <w:rPr>
          <w:rFonts w:ascii="Bookman Old Style" w:hAnsi="Bookman Old Style"/>
          <w:sz w:val="24"/>
          <w:szCs w:val="24"/>
        </w:rPr>
        <w:t>,</w:t>
      </w:r>
      <w:r w:rsidR="00B66D22">
        <w:rPr>
          <w:rFonts w:ascii="Bookman Old Style" w:hAnsi="Bookman Old Style"/>
          <w:sz w:val="24"/>
          <w:szCs w:val="24"/>
        </w:rPr>
        <w:t xml:space="preserve"> anonymity needs to be balanced with other rights.</w:t>
      </w:r>
      <w:r w:rsidR="00B66D22">
        <w:rPr>
          <w:rStyle w:val="FootnoteReference"/>
          <w:rFonts w:ascii="Bookman Old Style" w:hAnsi="Bookman Old Style"/>
          <w:sz w:val="24"/>
          <w:szCs w:val="24"/>
        </w:rPr>
        <w:footnoteReference w:id="26"/>
      </w:r>
    </w:p>
    <w:p w14:paraId="0A86A34F" w14:textId="56D4DE35" w:rsidR="00C81267" w:rsidRPr="00C81267" w:rsidRDefault="00C81267" w:rsidP="009033C3">
      <w:pPr>
        <w:spacing w:line="360" w:lineRule="auto"/>
        <w:rPr>
          <w:rFonts w:ascii="Bookman Old Style" w:hAnsi="Bookman Old Style"/>
          <w:b/>
          <w:bCs/>
          <w:sz w:val="24"/>
          <w:szCs w:val="24"/>
        </w:rPr>
      </w:pPr>
      <w:r w:rsidRPr="00C81267">
        <w:rPr>
          <w:rFonts w:ascii="Bookman Old Style" w:hAnsi="Bookman Old Style"/>
          <w:b/>
          <w:bCs/>
          <w:sz w:val="24"/>
          <w:szCs w:val="24"/>
        </w:rPr>
        <w:t xml:space="preserve">Right to online anonymity under domestic laws of civilized nations </w:t>
      </w:r>
    </w:p>
    <w:p w14:paraId="3E904BFA" w14:textId="6F7E875F" w:rsidR="00400F99" w:rsidRDefault="00630300" w:rsidP="009033C3">
      <w:pPr>
        <w:spacing w:line="360" w:lineRule="auto"/>
        <w:rPr>
          <w:rFonts w:ascii="Bookman Old Style" w:hAnsi="Bookman Old Style"/>
          <w:sz w:val="24"/>
          <w:szCs w:val="24"/>
        </w:rPr>
      </w:pPr>
      <w:r>
        <w:rPr>
          <w:rFonts w:ascii="Bookman Old Style" w:hAnsi="Bookman Old Style"/>
          <w:sz w:val="24"/>
          <w:szCs w:val="24"/>
        </w:rPr>
        <w:t>The Canadian Supreme Court rec</w:t>
      </w:r>
      <w:r w:rsidR="004A068F">
        <w:rPr>
          <w:rFonts w:ascii="Bookman Old Style" w:hAnsi="Bookman Old Style"/>
          <w:sz w:val="24"/>
          <w:szCs w:val="24"/>
        </w:rPr>
        <w:t xml:space="preserve">ognised </w:t>
      </w:r>
      <w:r w:rsidR="00400F99">
        <w:rPr>
          <w:rFonts w:ascii="Bookman Old Style" w:hAnsi="Bookman Old Style"/>
          <w:sz w:val="24"/>
          <w:szCs w:val="24"/>
        </w:rPr>
        <w:t>the anonymity aspect of informational privacy and stated that:</w:t>
      </w:r>
    </w:p>
    <w:p w14:paraId="1044B494" w14:textId="77777777" w:rsidR="00400F99" w:rsidRDefault="00345610" w:rsidP="009033C3">
      <w:pPr>
        <w:spacing w:line="360" w:lineRule="auto"/>
        <w:ind w:left="720"/>
        <w:rPr>
          <w:rFonts w:ascii="Bookman Old Style" w:hAnsi="Bookman Old Style"/>
          <w:sz w:val="24"/>
          <w:szCs w:val="24"/>
        </w:rPr>
      </w:pPr>
      <w:r w:rsidRPr="00400F99">
        <w:rPr>
          <w:rFonts w:ascii="Bookman Old Style" w:hAnsi="Bookman Old Style"/>
          <w:i/>
          <w:iCs/>
          <w:sz w:val="24"/>
          <w:szCs w:val="24"/>
        </w:rPr>
        <w:t>“Some degree of anonymity is a feature of much Internet activity and depending on the totality of the circumstances, anonymity may be the foundation of a privacy interest that engages constitutional protection against unreasonable search and seizure.”</w:t>
      </w:r>
      <w:r w:rsidRPr="00400F99">
        <w:rPr>
          <w:rStyle w:val="FootnoteReference"/>
          <w:rFonts w:ascii="Bookman Old Style" w:hAnsi="Bookman Old Style"/>
          <w:i/>
          <w:iCs/>
          <w:sz w:val="24"/>
          <w:szCs w:val="24"/>
        </w:rPr>
        <w:footnoteReference w:id="27"/>
      </w:r>
      <w:r>
        <w:rPr>
          <w:rFonts w:ascii="Bookman Old Style" w:hAnsi="Bookman Old Style"/>
          <w:sz w:val="24"/>
          <w:szCs w:val="24"/>
        </w:rPr>
        <w:t xml:space="preserve"> </w:t>
      </w:r>
    </w:p>
    <w:p w14:paraId="2BF8C14F" w14:textId="40BF91AF" w:rsidR="00630300" w:rsidRDefault="009F12C7" w:rsidP="009033C3">
      <w:pPr>
        <w:spacing w:line="360" w:lineRule="auto"/>
        <w:rPr>
          <w:rFonts w:ascii="Bookman Old Style" w:hAnsi="Bookman Old Style"/>
          <w:sz w:val="24"/>
          <w:szCs w:val="24"/>
        </w:rPr>
      </w:pPr>
      <w:r>
        <w:rPr>
          <w:rFonts w:ascii="Bookman Old Style" w:hAnsi="Bookman Old Style"/>
          <w:sz w:val="24"/>
          <w:szCs w:val="24"/>
        </w:rPr>
        <w:t>The Constitutional Court in Korea also held unconstitutional a law that provided for intermediaries to identify users in order to run a “bulletin board” where users could communicate and publish information</w:t>
      </w:r>
      <w:r w:rsidR="00FE4AA1">
        <w:rPr>
          <w:rFonts w:ascii="Bookman Old Style" w:hAnsi="Bookman Old Style"/>
          <w:sz w:val="24"/>
          <w:szCs w:val="24"/>
        </w:rPr>
        <w:t>.</w:t>
      </w:r>
      <w:r>
        <w:rPr>
          <w:rStyle w:val="FootnoteReference"/>
          <w:rFonts w:ascii="Bookman Old Style" w:hAnsi="Bookman Old Style"/>
          <w:sz w:val="24"/>
          <w:szCs w:val="24"/>
        </w:rPr>
        <w:footnoteReference w:id="28"/>
      </w:r>
      <w:r w:rsidR="00FE4AA1">
        <w:rPr>
          <w:rFonts w:ascii="Bookman Old Style" w:hAnsi="Bookman Old Style"/>
          <w:sz w:val="24"/>
          <w:szCs w:val="24"/>
        </w:rPr>
        <w:t xml:space="preserve">The court stated that anonymity provided a voice to those that lack social and political </w:t>
      </w:r>
      <w:r w:rsidR="00FE4AA1">
        <w:rPr>
          <w:rFonts w:ascii="Bookman Old Style" w:hAnsi="Bookman Old Style"/>
          <w:sz w:val="24"/>
          <w:szCs w:val="24"/>
        </w:rPr>
        <w:lastRenderedPageBreak/>
        <w:t>power to express their views and held it to be an integral part of freedom of expression.</w:t>
      </w:r>
      <w:r w:rsidR="00FE4AA1">
        <w:rPr>
          <w:rStyle w:val="FootnoteReference"/>
          <w:rFonts w:ascii="Bookman Old Style" w:hAnsi="Bookman Old Style"/>
          <w:sz w:val="24"/>
          <w:szCs w:val="24"/>
        </w:rPr>
        <w:footnoteReference w:id="29"/>
      </w:r>
      <w:r w:rsidR="00BB576D">
        <w:rPr>
          <w:rFonts w:ascii="Bookman Old Style" w:hAnsi="Bookman Old Style"/>
          <w:sz w:val="24"/>
          <w:szCs w:val="24"/>
        </w:rPr>
        <w:t xml:space="preserve"> </w:t>
      </w:r>
    </w:p>
    <w:p w14:paraId="16313A28" w14:textId="7ABC1D14" w:rsidR="00EB16EA" w:rsidRDefault="00EB16EA" w:rsidP="009033C3">
      <w:pPr>
        <w:spacing w:line="360" w:lineRule="auto"/>
        <w:rPr>
          <w:rFonts w:ascii="Bookman Old Style" w:hAnsi="Bookman Old Style"/>
          <w:sz w:val="24"/>
          <w:szCs w:val="24"/>
        </w:rPr>
      </w:pPr>
      <w:r>
        <w:rPr>
          <w:rFonts w:ascii="Bookman Old Style" w:hAnsi="Bookman Old Style"/>
          <w:sz w:val="24"/>
          <w:szCs w:val="24"/>
        </w:rPr>
        <w:t>Online anonymity under domestic law is limited as law enforcement purposes often supersede the right especially suing for defamation or copyright infringement.</w:t>
      </w:r>
      <w:r>
        <w:rPr>
          <w:rStyle w:val="FootnoteReference"/>
          <w:rFonts w:ascii="Bookman Old Style" w:hAnsi="Bookman Old Style"/>
          <w:sz w:val="24"/>
          <w:szCs w:val="24"/>
        </w:rPr>
        <w:footnoteReference w:id="30"/>
      </w:r>
      <w:r>
        <w:rPr>
          <w:rFonts w:ascii="Bookman Old Style" w:hAnsi="Bookman Old Style"/>
          <w:sz w:val="24"/>
          <w:szCs w:val="24"/>
        </w:rPr>
        <w:t>The single most problematic aspect relates to real name registration mechanisms put in place which are a blatant violation of both right to privacy and freedom of expression.</w:t>
      </w:r>
      <w:r>
        <w:rPr>
          <w:rStyle w:val="FootnoteReference"/>
          <w:rFonts w:ascii="Bookman Old Style" w:hAnsi="Bookman Old Style"/>
          <w:sz w:val="24"/>
          <w:szCs w:val="24"/>
        </w:rPr>
        <w:footnoteReference w:id="31"/>
      </w:r>
      <w:r>
        <w:rPr>
          <w:rFonts w:ascii="Bookman Old Style" w:hAnsi="Bookman Old Style"/>
          <w:sz w:val="24"/>
          <w:szCs w:val="24"/>
        </w:rPr>
        <w:t>Real name registration laws have been in place in Russia, China</w:t>
      </w:r>
      <w:r w:rsidR="00E50FAF">
        <w:rPr>
          <w:rFonts w:ascii="Bookman Old Style" w:hAnsi="Bookman Old Style"/>
          <w:sz w:val="24"/>
          <w:szCs w:val="24"/>
        </w:rPr>
        <w:t>, Iran and Vietnam</w:t>
      </w:r>
      <w:r w:rsidR="001E16ED">
        <w:rPr>
          <w:rFonts w:ascii="Bookman Old Style" w:hAnsi="Bookman Old Style"/>
          <w:sz w:val="24"/>
          <w:szCs w:val="24"/>
        </w:rPr>
        <w:t>.</w:t>
      </w:r>
      <w:r w:rsidR="001E16ED">
        <w:rPr>
          <w:rStyle w:val="FootnoteReference"/>
          <w:rFonts w:ascii="Bookman Old Style" w:hAnsi="Bookman Old Style"/>
          <w:sz w:val="24"/>
          <w:szCs w:val="24"/>
        </w:rPr>
        <w:footnoteReference w:id="32"/>
      </w:r>
      <w:r w:rsidR="001E16ED">
        <w:rPr>
          <w:rFonts w:ascii="Bookman Old Style" w:hAnsi="Bookman Old Style"/>
          <w:sz w:val="24"/>
          <w:szCs w:val="24"/>
        </w:rPr>
        <w:t>Whereas countries like Germany have struck down such laws and even afforded further protections like the options of using pseudonyms.</w:t>
      </w:r>
      <w:r w:rsidR="001E16ED">
        <w:rPr>
          <w:rStyle w:val="FootnoteReference"/>
          <w:rFonts w:ascii="Bookman Old Style" w:hAnsi="Bookman Old Style"/>
          <w:sz w:val="24"/>
          <w:szCs w:val="24"/>
        </w:rPr>
        <w:footnoteReference w:id="33"/>
      </w:r>
      <w:r w:rsidR="001778EF">
        <w:rPr>
          <w:rFonts w:ascii="Bookman Old Style" w:hAnsi="Bookman Old Style"/>
          <w:sz w:val="24"/>
          <w:szCs w:val="24"/>
        </w:rPr>
        <w:t xml:space="preserve">Mexico’s Supreme Court </w:t>
      </w:r>
      <w:r w:rsidR="00C80254">
        <w:rPr>
          <w:rFonts w:ascii="Bookman Old Style" w:hAnsi="Bookman Old Style"/>
          <w:sz w:val="24"/>
          <w:szCs w:val="24"/>
        </w:rPr>
        <w:t xml:space="preserve">struck down the creation of </w:t>
      </w:r>
      <w:r w:rsidR="00C80254" w:rsidRPr="00C80254">
        <w:rPr>
          <w:rFonts w:ascii="Bookman Old Style" w:hAnsi="Bookman Old Style"/>
          <w:sz w:val="24"/>
          <w:szCs w:val="24"/>
        </w:rPr>
        <w:t>the National Registry of Mobile Telephone Users (PANAUT)</w:t>
      </w:r>
      <w:r w:rsidR="00C80254">
        <w:rPr>
          <w:rFonts w:ascii="Bookman Old Style" w:hAnsi="Bookman Old Style"/>
          <w:sz w:val="24"/>
          <w:szCs w:val="24"/>
        </w:rPr>
        <w:t xml:space="preserve"> which required telecommunication companies to collect biometric and other identifying data. The court in its decision emphasized the need for anonymity in order to create a safe zone for enjoyment of associated rights.</w:t>
      </w:r>
      <w:r w:rsidR="00C80254">
        <w:rPr>
          <w:rStyle w:val="FootnoteReference"/>
          <w:rFonts w:ascii="Bookman Old Style" w:hAnsi="Bookman Old Style"/>
          <w:sz w:val="24"/>
          <w:szCs w:val="24"/>
        </w:rPr>
        <w:footnoteReference w:id="34"/>
      </w:r>
    </w:p>
    <w:p w14:paraId="1A529EE4" w14:textId="7FD72BB3" w:rsidR="001F423B" w:rsidRDefault="00B15E8E" w:rsidP="009033C3">
      <w:pPr>
        <w:spacing w:line="360" w:lineRule="auto"/>
        <w:rPr>
          <w:rFonts w:ascii="Bookman Old Style" w:hAnsi="Bookman Old Style"/>
          <w:sz w:val="24"/>
          <w:szCs w:val="24"/>
        </w:rPr>
      </w:pPr>
      <w:r w:rsidRPr="00B15E8E">
        <w:rPr>
          <w:rFonts w:ascii="Bookman Old Style" w:hAnsi="Bookman Old Style"/>
          <w:sz w:val="24"/>
          <w:szCs w:val="24"/>
        </w:rPr>
        <w:t>While India has adequately recognised that under Article 21 of its constitution there exists a fundamental right to privacy</w:t>
      </w:r>
      <w:r w:rsidRPr="00B15E8E">
        <w:rPr>
          <w:rFonts w:ascii="Bookman Old Style" w:hAnsi="Bookman Old Style"/>
          <w:sz w:val="24"/>
          <w:szCs w:val="24"/>
          <w:vertAlign w:val="superscript"/>
        </w:rPr>
        <w:footnoteReference w:id="35"/>
      </w:r>
      <w:r w:rsidRPr="00B15E8E">
        <w:rPr>
          <w:rFonts w:ascii="Bookman Old Style" w:hAnsi="Bookman Old Style"/>
          <w:sz w:val="24"/>
          <w:szCs w:val="24"/>
        </w:rPr>
        <w:t>, there is little mention of right to anonymity. However, the Indian Supreme Court does address a key point that there exists a distinction between anonymity and privacy where both protect personal information but are doing it from opposite ways.</w:t>
      </w:r>
      <w:r w:rsidRPr="00B15E8E">
        <w:rPr>
          <w:rFonts w:ascii="Bookman Old Style" w:hAnsi="Bookman Old Style"/>
          <w:sz w:val="24"/>
          <w:szCs w:val="24"/>
          <w:vertAlign w:val="superscript"/>
        </w:rPr>
        <w:footnoteReference w:id="36"/>
      </w:r>
      <w:r w:rsidRPr="00B15E8E">
        <w:rPr>
          <w:rFonts w:ascii="Bookman Old Style" w:hAnsi="Bookman Old Style"/>
          <w:sz w:val="24"/>
          <w:szCs w:val="24"/>
        </w:rPr>
        <w:t>The court states that</w:t>
      </w:r>
      <w:r w:rsidR="001F423B">
        <w:rPr>
          <w:rFonts w:ascii="Bookman Old Style" w:hAnsi="Bookman Old Style"/>
          <w:sz w:val="24"/>
          <w:szCs w:val="24"/>
        </w:rPr>
        <w:t>:</w:t>
      </w:r>
    </w:p>
    <w:p w14:paraId="2BEFB105" w14:textId="65434756" w:rsidR="001F423B" w:rsidRDefault="001F423B" w:rsidP="009033C3">
      <w:pPr>
        <w:spacing w:line="360" w:lineRule="auto"/>
        <w:ind w:left="720"/>
        <w:rPr>
          <w:rFonts w:ascii="Bookman Old Style" w:hAnsi="Bookman Old Style"/>
          <w:sz w:val="24"/>
          <w:szCs w:val="24"/>
        </w:rPr>
      </w:pPr>
      <w:r w:rsidRPr="001F423B">
        <w:rPr>
          <w:rFonts w:ascii="Bookman Old Style" w:hAnsi="Bookman Old Style"/>
          <w:i/>
          <w:iCs/>
          <w:sz w:val="24"/>
          <w:szCs w:val="24"/>
        </w:rPr>
        <w:t xml:space="preserve">“Privacy involves hiding information whereas anonymity involves hiding what makes it personal. An unauthorised parting of the medical records of an individual which have been furnished to a hospital will amount to </w:t>
      </w:r>
      <w:r w:rsidRPr="001F423B">
        <w:rPr>
          <w:rFonts w:ascii="Bookman Old Style" w:hAnsi="Bookman Old Style"/>
          <w:i/>
          <w:iCs/>
          <w:sz w:val="24"/>
          <w:szCs w:val="24"/>
        </w:rPr>
        <w:lastRenderedPageBreak/>
        <w:t>an invasion of privacy. On the other hand, the state may assert a legitimate interest in analysing data borne from hospital records to understand and deal with a public health epidemic such as malaria or dengue to obviate a serious impact on the population. If the State preserves the anonymity of the individual, it could legitimately assert a valid state interest in the preservation of public health to design appropriate policy interventions on the basis of the data available to it.”</w:t>
      </w:r>
      <w:r w:rsidR="00B15E8E" w:rsidRPr="00B15E8E">
        <w:rPr>
          <w:rFonts w:ascii="Bookman Old Style" w:hAnsi="Bookman Old Style"/>
          <w:sz w:val="24"/>
          <w:szCs w:val="24"/>
          <w:vertAlign w:val="superscript"/>
        </w:rPr>
        <w:footnoteReference w:id="37"/>
      </w:r>
      <w:r w:rsidR="00B15E8E" w:rsidRPr="00B15E8E">
        <w:rPr>
          <w:rFonts w:ascii="Bookman Old Style" w:hAnsi="Bookman Old Style"/>
          <w:sz w:val="24"/>
          <w:szCs w:val="24"/>
        </w:rPr>
        <w:t xml:space="preserve"> </w:t>
      </w:r>
    </w:p>
    <w:p w14:paraId="25F26CE8" w14:textId="6A5A7963" w:rsidR="00B15E8E" w:rsidRPr="001F423B" w:rsidRDefault="00B15E8E" w:rsidP="009033C3">
      <w:pPr>
        <w:spacing w:line="360" w:lineRule="auto"/>
        <w:rPr>
          <w:rFonts w:ascii="Bookman Old Style" w:hAnsi="Bookman Old Style"/>
          <w:i/>
          <w:iCs/>
          <w:sz w:val="24"/>
          <w:szCs w:val="24"/>
        </w:rPr>
      </w:pPr>
      <w:r w:rsidRPr="00B15E8E">
        <w:rPr>
          <w:rFonts w:ascii="Bookman Old Style" w:hAnsi="Bookman Old Style"/>
          <w:sz w:val="24"/>
          <w:szCs w:val="24"/>
        </w:rPr>
        <w:t>This distinction makes it easier to understand the connection between the two i.e., one necessitates the existence of the other and vice versa, anonymity and privacy protect each other.</w:t>
      </w:r>
      <w:r w:rsidRPr="00B15E8E">
        <w:rPr>
          <w:rFonts w:ascii="Bookman Old Style" w:hAnsi="Bookman Old Style"/>
          <w:sz w:val="24"/>
          <w:szCs w:val="24"/>
          <w:vertAlign w:val="superscript"/>
        </w:rPr>
        <w:footnoteReference w:id="38"/>
      </w:r>
    </w:p>
    <w:p w14:paraId="7D6AD4E4" w14:textId="5F9C5F64" w:rsidR="00400F99" w:rsidRPr="00400F99" w:rsidRDefault="00400F99" w:rsidP="009033C3">
      <w:pPr>
        <w:spacing w:line="360" w:lineRule="auto"/>
        <w:rPr>
          <w:rFonts w:ascii="Bookman Old Style" w:hAnsi="Bookman Old Style"/>
          <w:b/>
          <w:bCs/>
          <w:sz w:val="24"/>
          <w:szCs w:val="24"/>
        </w:rPr>
      </w:pPr>
      <w:r w:rsidRPr="00400F99">
        <w:rPr>
          <w:rFonts w:ascii="Bookman Old Style" w:hAnsi="Bookman Old Style"/>
          <w:b/>
          <w:bCs/>
          <w:sz w:val="24"/>
          <w:szCs w:val="24"/>
        </w:rPr>
        <w:t xml:space="preserve">Test to determine </w:t>
      </w:r>
      <w:r w:rsidR="00C47083">
        <w:rPr>
          <w:rFonts w:ascii="Bookman Old Style" w:hAnsi="Bookman Old Style"/>
          <w:b/>
          <w:bCs/>
          <w:sz w:val="24"/>
          <w:szCs w:val="24"/>
        </w:rPr>
        <w:t xml:space="preserve">permissible restrictions </w:t>
      </w:r>
      <w:r w:rsidRPr="00400F99">
        <w:rPr>
          <w:rFonts w:ascii="Bookman Old Style" w:hAnsi="Bookman Old Style"/>
          <w:b/>
          <w:bCs/>
          <w:sz w:val="24"/>
          <w:szCs w:val="24"/>
        </w:rPr>
        <w:t xml:space="preserve">on online anonymity </w:t>
      </w:r>
    </w:p>
    <w:p w14:paraId="14B33DC5" w14:textId="77777777" w:rsidR="00400F99" w:rsidRDefault="00D82326" w:rsidP="009033C3">
      <w:pPr>
        <w:spacing w:line="360" w:lineRule="auto"/>
        <w:rPr>
          <w:rFonts w:ascii="Bookman Old Style" w:hAnsi="Bookman Old Style"/>
          <w:sz w:val="24"/>
          <w:szCs w:val="24"/>
        </w:rPr>
      </w:pPr>
      <w:r>
        <w:rPr>
          <w:rFonts w:ascii="Bookman Old Style" w:hAnsi="Bookman Old Style"/>
          <w:sz w:val="24"/>
          <w:szCs w:val="24"/>
        </w:rPr>
        <w:t xml:space="preserve">The Special Rapporteur on freedom of speech and expression in its 2015 report states that </w:t>
      </w:r>
    </w:p>
    <w:p w14:paraId="5479DEDC" w14:textId="77777777" w:rsidR="00400F99" w:rsidRPr="00400F99" w:rsidRDefault="00D82326" w:rsidP="009033C3">
      <w:pPr>
        <w:spacing w:line="360" w:lineRule="auto"/>
        <w:ind w:left="720"/>
        <w:rPr>
          <w:rFonts w:ascii="Bookman Old Style" w:hAnsi="Bookman Old Style"/>
          <w:i/>
          <w:iCs/>
          <w:sz w:val="24"/>
          <w:szCs w:val="24"/>
        </w:rPr>
      </w:pPr>
      <w:r w:rsidRPr="00400F99">
        <w:rPr>
          <w:rFonts w:ascii="Bookman Old Style" w:hAnsi="Bookman Old Style"/>
          <w:i/>
          <w:iCs/>
          <w:sz w:val="24"/>
          <w:szCs w:val="24"/>
        </w:rPr>
        <w:t>“Because of their importance to the rights of opinion and expression, restrictions on encryption and anonymity must be strictly limited according to principles of legality, necessity, proportionality and legitimacy in objective.”</w:t>
      </w:r>
      <w:r w:rsidR="00BD7D90" w:rsidRPr="00400F99">
        <w:rPr>
          <w:rStyle w:val="FootnoteReference"/>
          <w:rFonts w:ascii="Bookman Old Style" w:hAnsi="Bookman Old Style"/>
          <w:i/>
          <w:iCs/>
          <w:sz w:val="24"/>
          <w:szCs w:val="24"/>
        </w:rPr>
        <w:footnoteReference w:id="39"/>
      </w:r>
      <w:r w:rsidR="00710000" w:rsidRPr="00400F99">
        <w:rPr>
          <w:rFonts w:ascii="Bookman Old Style" w:hAnsi="Bookman Old Style"/>
          <w:i/>
          <w:iCs/>
          <w:sz w:val="24"/>
          <w:szCs w:val="24"/>
        </w:rPr>
        <w:t xml:space="preserve"> </w:t>
      </w:r>
    </w:p>
    <w:p w14:paraId="09A4ADF1" w14:textId="347AE01E" w:rsidR="000109CD" w:rsidRPr="000C5070" w:rsidRDefault="00710000" w:rsidP="009033C3">
      <w:pPr>
        <w:spacing w:line="360" w:lineRule="auto"/>
        <w:rPr>
          <w:rFonts w:ascii="Bookman Old Style" w:hAnsi="Bookman Old Style"/>
          <w:sz w:val="24"/>
          <w:szCs w:val="24"/>
        </w:rPr>
      </w:pPr>
      <w:r>
        <w:rPr>
          <w:rFonts w:ascii="Bookman Old Style" w:hAnsi="Bookman Old Style"/>
          <w:sz w:val="24"/>
          <w:szCs w:val="24"/>
        </w:rPr>
        <w:t xml:space="preserve">This clearly indicates that even in matters of anonymity restriction the test laid down above should be followed because anonymity is the gateway for enjoyment of other protected rights namely right to privacy and right to freedom of expression, it is under this jurisprudence of anonymity that the Indian Telecommunications Act, 2023 will be analysed in order to establish if it meets necessary standards </w:t>
      </w:r>
      <w:r w:rsidR="00400F99">
        <w:rPr>
          <w:rFonts w:ascii="Bookman Old Style" w:hAnsi="Bookman Old Style"/>
          <w:sz w:val="24"/>
          <w:szCs w:val="24"/>
        </w:rPr>
        <w:t xml:space="preserve">defined </w:t>
      </w:r>
      <w:r>
        <w:rPr>
          <w:rFonts w:ascii="Bookman Old Style" w:hAnsi="Bookman Old Style"/>
          <w:sz w:val="24"/>
          <w:szCs w:val="24"/>
        </w:rPr>
        <w:t xml:space="preserve">under international law. </w:t>
      </w:r>
    </w:p>
    <w:p w14:paraId="1A97E5ED" w14:textId="4D50A572" w:rsidR="008B00EF" w:rsidRDefault="00437226" w:rsidP="009033C3">
      <w:pPr>
        <w:spacing w:line="360" w:lineRule="auto"/>
        <w:rPr>
          <w:rFonts w:ascii="Bookman Old Style" w:hAnsi="Bookman Old Style"/>
          <w:sz w:val="24"/>
          <w:szCs w:val="24"/>
        </w:rPr>
      </w:pPr>
      <w:r>
        <w:rPr>
          <w:rFonts w:ascii="Bookman Old Style" w:hAnsi="Bookman Old Style"/>
          <w:b/>
          <w:bCs/>
          <w:sz w:val="24"/>
          <w:szCs w:val="24"/>
        </w:rPr>
        <w:t xml:space="preserve">Does </w:t>
      </w:r>
      <w:r w:rsidR="00C216EC">
        <w:rPr>
          <w:rFonts w:ascii="Bookman Old Style" w:hAnsi="Bookman Old Style"/>
          <w:b/>
          <w:bCs/>
          <w:sz w:val="24"/>
          <w:szCs w:val="24"/>
        </w:rPr>
        <w:t>MR5</w:t>
      </w:r>
      <w:r>
        <w:rPr>
          <w:rFonts w:ascii="Bookman Old Style" w:hAnsi="Bookman Old Style"/>
          <w:b/>
          <w:bCs/>
          <w:sz w:val="24"/>
          <w:szCs w:val="24"/>
        </w:rPr>
        <w:t xml:space="preserve"> comply the international human rights standard?</w:t>
      </w:r>
    </w:p>
    <w:p w14:paraId="28874F8A" w14:textId="771C845A" w:rsidR="00437226" w:rsidRDefault="00C216EC" w:rsidP="009033C3">
      <w:pPr>
        <w:tabs>
          <w:tab w:val="left" w:pos="6030"/>
        </w:tabs>
        <w:spacing w:line="360" w:lineRule="auto"/>
        <w:rPr>
          <w:rFonts w:ascii="Bookman Old Style" w:hAnsi="Bookman Old Style"/>
          <w:sz w:val="24"/>
          <w:szCs w:val="24"/>
        </w:rPr>
      </w:pPr>
      <w:r>
        <w:rPr>
          <w:rFonts w:ascii="Bookman Old Style" w:hAnsi="Bookman Old Style"/>
          <w:sz w:val="24"/>
          <w:szCs w:val="24"/>
        </w:rPr>
        <w:t>T</w:t>
      </w:r>
      <w:r w:rsidR="00437226">
        <w:rPr>
          <w:rFonts w:ascii="Bookman Old Style" w:hAnsi="Bookman Old Style"/>
          <w:sz w:val="24"/>
          <w:szCs w:val="24"/>
        </w:rPr>
        <w:t xml:space="preserve">he mandatory </w:t>
      </w:r>
      <w:r>
        <w:rPr>
          <w:rFonts w:ascii="Bookman Old Style" w:hAnsi="Bookman Old Style"/>
          <w:sz w:val="24"/>
          <w:szCs w:val="24"/>
        </w:rPr>
        <w:t>registration</w:t>
      </w:r>
      <w:r w:rsidR="00437226">
        <w:rPr>
          <w:rFonts w:ascii="Bookman Old Style" w:hAnsi="Bookman Old Style"/>
          <w:sz w:val="24"/>
          <w:szCs w:val="24"/>
        </w:rPr>
        <w:t xml:space="preserve"> requirement as required for by </w:t>
      </w:r>
      <w:r>
        <w:rPr>
          <w:rFonts w:ascii="Bookman Old Style" w:hAnsi="Bookman Old Style"/>
          <w:sz w:val="24"/>
          <w:szCs w:val="24"/>
        </w:rPr>
        <w:t>MR5</w:t>
      </w:r>
      <w:r w:rsidR="00437226">
        <w:rPr>
          <w:rFonts w:ascii="Bookman Old Style" w:hAnsi="Bookman Old Style"/>
          <w:sz w:val="24"/>
          <w:szCs w:val="24"/>
        </w:rPr>
        <w:t xml:space="preserve"> creates an environment of legal uncertainty as the parameters to get</w:t>
      </w:r>
      <w:r>
        <w:rPr>
          <w:rFonts w:ascii="Bookman Old Style" w:hAnsi="Bookman Old Style"/>
          <w:sz w:val="24"/>
          <w:szCs w:val="24"/>
        </w:rPr>
        <w:t xml:space="preserve"> registration</w:t>
      </w:r>
      <w:r w:rsidR="00437226">
        <w:rPr>
          <w:rFonts w:ascii="Bookman Old Style" w:hAnsi="Bookman Old Style"/>
          <w:sz w:val="24"/>
          <w:szCs w:val="24"/>
        </w:rPr>
        <w:t xml:space="preserve"> have not been defined. </w:t>
      </w:r>
      <w:r w:rsidR="00F1376A">
        <w:rPr>
          <w:rFonts w:ascii="Bookman Old Style" w:hAnsi="Bookman Old Style"/>
          <w:sz w:val="24"/>
          <w:szCs w:val="24"/>
        </w:rPr>
        <w:t>T</w:t>
      </w:r>
      <w:r w:rsidR="00437226">
        <w:rPr>
          <w:rFonts w:ascii="Bookman Old Style" w:hAnsi="Bookman Old Style"/>
          <w:sz w:val="24"/>
          <w:szCs w:val="24"/>
        </w:rPr>
        <w:t xml:space="preserve">he all-encompassing definition of </w:t>
      </w:r>
      <w:r>
        <w:rPr>
          <w:rFonts w:ascii="Bookman Old Style" w:hAnsi="Bookman Old Style"/>
          <w:sz w:val="24"/>
          <w:szCs w:val="24"/>
        </w:rPr>
        <w:t>“ESO”</w:t>
      </w:r>
      <w:r w:rsidR="00437226">
        <w:rPr>
          <w:rFonts w:ascii="Bookman Old Style" w:hAnsi="Bookman Old Style"/>
          <w:sz w:val="24"/>
          <w:szCs w:val="24"/>
        </w:rPr>
        <w:t xml:space="preserve"> leaves room for </w:t>
      </w:r>
      <w:r w:rsidR="00437226">
        <w:rPr>
          <w:rFonts w:ascii="Bookman Old Style" w:hAnsi="Bookman Old Style"/>
          <w:sz w:val="24"/>
          <w:szCs w:val="24"/>
        </w:rPr>
        <w:lastRenderedPageBreak/>
        <w:t>doubt when it comes to</w:t>
      </w:r>
      <w:r w:rsidR="00F1376A">
        <w:rPr>
          <w:rFonts w:ascii="Bookman Old Style" w:hAnsi="Bookman Old Style"/>
          <w:sz w:val="24"/>
          <w:szCs w:val="24"/>
        </w:rPr>
        <w:t xml:space="preserve"> </w:t>
      </w:r>
      <w:r w:rsidR="00AF6E46">
        <w:rPr>
          <w:rFonts w:ascii="Bookman Old Style" w:hAnsi="Bookman Old Style"/>
          <w:sz w:val="24"/>
          <w:szCs w:val="24"/>
        </w:rPr>
        <w:t xml:space="preserve">protection of </w:t>
      </w:r>
      <w:r w:rsidR="00437226">
        <w:rPr>
          <w:rFonts w:ascii="Bookman Old Style" w:hAnsi="Bookman Old Style"/>
          <w:sz w:val="24"/>
          <w:szCs w:val="24"/>
        </w:rPr>
        <w:t>journalis</w:t>
      </w:r>
      <w:r w:rsidR="00AF6E46">
        <w:rPr>
          <w:rFonts w:ascii="Bookman Old Style" w:hAnsi="Bookman Old Style"/>
          <w:sz w:val="24"/>
          <w:szCs w:val="24"/>
        </w:rPr>
        <w:t>ts</w:t>
      </w:r>
      <w:r w:rsidR="00437226">
        <w:rPr>
          <w:rFonts w:ascii="Bookman Old Style" w:hAnsi="Bookman Old Style"/>
          <w:sz w:val="24"/>
          <w:szCs w:val="24"/>
        </w:rPr>
        <w:t xml:space="preserve">, bloggers and other unstructured forms of journalism as the issue with respect to registration/authorisation of internet websites has not yet been clarified by the government. </w:t>
      </w:r>
      <w:r>
        <w:rPr>
          <w:rFonts w:ascii="Bookman Old Style" w:hAnsi="Bookman Old Style"/>
          <w:sz w:val="24"/>
          <w:szCs w:val="24"/>
        </w:rPr>
        <w:t>I</w:t>
      </w:r>
      <w:r w:rsidR="00B15E8E">
        <w:rPr>
          <w:rFonts w:ascii="Bookman Old Style" w:hAnsi="Bookman Old Style"/>
          <w:sz w:val="24"/>
          <w:szCs w:val="24"/>
        </w:rPr>
        <w:t xml:space="preserve">t also leads to ambiguity as to breach of which terms and conditions would the </w:t>
      </w:r>
      <w:r w:rsidR="00187BCF">
        <w:rPr>
          <w:rFonts w:ascii="Bookman Old Style" w:hAnsi="Bookman Old Style"/>
          <w:sz w:val="24"/>
          <w:szCs w:val="24"/>
        </w:rPr>
        <w:t>lead to a revocation</w:t>
      </w:r>
      <w:r w:rsidR="00B15E8E">
        <w:rPr>
          <w:rFonts w:ascii="Bookman Old Style" w:hAnsi="Bookman Old Style"/>
          <w:sz w:val="24"/>
          <w:szCs w:val="24"/>
        </w:rPr>
        <w:t>/susp</w:t>
      </w:r>
      <w:r w:rsidR="00187BCF">
        <w:rPr>
          <w:rFonts w:ascii="Bookman Old Style" w:hAnsi="Bookman Old Style"/>
          <w:sz w:val="24"/>
          <w:szCs w:val="24"/>
        </w:rPr>
        <w:t xml:space="preserve">ension </w:t>
      </w:r>
      <w:r w:rsidR="00B15E8E">
        <w:rPr>
          <w:rFonts w:ascii="Bookman Old Style" w:hAnsi="Bookman Old Style"/>
          <w:sz w:val="24"/>
          <w:szCs w:val="24"/>
        </w:rPr>
        <w:t>or curtail</w:t>
      </w:r>
      <w:r w:rsidR="00187BCF">
        <w:rPr>
          <w:rFonts w:ascii="Bookman Old Style" w:hAnsi="Bookman Old Style"/>
          <w:sz w:val="24"/>
          <w:szCs w:val="24"/>
        </w:rPr>
        <w:t>ment of</w:t>
      </w:r>
      <w:r w:rsidR="00B15E8E">
        <w:rPr>
          <w:rFonts w:ascii="Bookman Old Style" w:hAnsi="Bookman Old Style"/>
          <w:sz w:val="24"/>
          <w:szCs w:val="24"/>
        </w:rPr>
        <w:t xml:space="preserve"> the rights granted by the </w:t>
      </w:r>
      <w:r>
        <w:rPr>
          <w:rFonts w:ascii="Bookman Old Style" w:hAnsi="Bookman Old Style"/>
          <w:sz w:val="24"/>
          <w:szCs w:val="24"/>
        </w:rPr>
        <w:t>registration</w:t>
      </w:r>
      <w:r w:rsidR="00B15E8E">
        <w:rPr>
          <w:rFonts w:ascii="Bookman Old Style" w:hAnsi="Bookman Old Style"/>
          <w:sz w:val="24"/>
          <w:szCs w:val="24"/>
        </w:rPr>
        <w:t>.</w:t>
      </w:r>
      <w:r>
        <w:rPr>
          <w:rFonts w:ascii="Bookman Old Style" w:hAnsi="Bookman Old Style"/>
          <w:sz w:val="24"/>
          <w:szCs w:val="24"/>
        </w:rPr>
        <w:t xml:space="preserve"> A</w:t>
      </w:r>
      <w:r w:rsidR="00B15E8E">
        <w:rPr>
          <w:rFonts w:ascii="Bookman Old Style" w:hAnsi="Bookman Old Style"/>
          <w:sz w:val="24"/>
          <w:szCs w:val="24"/>
        </w:rPr>
        <w:t xml:space="preserve">n adjudicating authority has </w:t>
      </w:r>
      <w:r>
        <w:rPr>
          <w:rFonts w:ascii="Bookman Old Style" w:hAnsi="Bookman Old Style"/>
          <w:sz w:val="24"/>
          <w:szCs w:val="24"/>
        </w:rPr>
        <w:t xml:space="preserve">not </w:t>
      </w:r>
      <w:proofErr w:type="spellStart"/>
      <w:r w:rsidR="00B15E8E">
        <w:rPr>
          <w:rFonts w:ascii="Bookman Old Style" w:hAnsi="Bookman Old Style"/>
          <w:sz w:val="24"/>
          <w:szCs w:val="24"/>
        </w:rPr>
        <w:t>been</w:t>
      </w:r>
      <w:proofErr w:type="spellEnd"/>
      <w:r w:rsidR="00B15E8E">
        <w:rPr>
          <w:rFonts w:ascii="Bookman Old Style" w:hAnsi="Bookman Old Style"/>
          <w:sz w:val="24"/>
          <w:szCs w:val="24"/>
        </w:rPr>
        <w:t xml:space="preserve"> established under the Act to deal with such issues</w:t>
      </w:r>
      <w:r>
        <w:rPr>
          <w:rFonts w:ascii="Bookman Old Style" w:hAnsi="Bookman Old Style"/>
          <w:sz w:val="24"/>
          <w:szCs w:val="24"/>
        </w:rPr>
        <w:t xml:space="preserve">, and it is concerning especially when </w:t>
      </w:r>
      <w:r w:rsidR="00B15E8E">
        <w:rPr>
          <w:rFonts w:ascii="Bookman Old Style" w:hAnsi="Bookman Old Style"/>
          <w:sz w:val="24"/>
          <w:szCs w:val="24"/>
        </w:rPr>
        <w:t xml:space="preserve">the criteria in itself to impose </w:t>
      </w:r>
      <w:r>
        <w:rPr>
          <w:rFonts w:ascii="Bookman Old Style" w:hAnsi="Bookman Old Style"/>
          <w:sz w:val="24"/>
          <w:szCs w:val="24"/>
        </w:rPr>
        <w:t xml:space="preserve">the registration requirement </w:t>
      </w:r>
      <w:r w:rsidR="00B15E8E">
        <w:rPr>
          <w:rFonts w:ascii="Bookman Old Style" w:hAnsi="Bookman Old Style"/>
          <w:sz w:val="24"/>
          <w:szCs w:val="24"/>
        </w:rPr>
        <w:t xml:space="preserve">needs to abide by the </w:t>
      </w:r>
      <w:r w:rsidR="00B15E8E" w:rsidRPr="00B15E8E">
        <w:rPr>
          <w:rFonts w:ascii="Bookman Old Style" w:hAnsi="Bookman Old Style"/>
          <w:sz w:val="24"/>
          <w:szCs w:val="24"/>
        </w:rPr>
        <w:t>principles of legality, necessity, proportionality and legitimacy in objective</w:t>
      </w:r>
      <w:r w:rsidR="00B15E8E">
        <w:rPr>
          <w:rFonts w:ascii="Bookman Old Style" w:hAnsi="Bookman Old Style"/>
          <w:sz w:val="24"/>
          <w:szCs w:val="24"/>
        </w:rPr>
        <w:t>.</w:t>
      </w:r>
      <w:r w:rsidR="00B15E8E">
        <w:rPr>
          <w:rStyle w:val="FootnoteReference"/>
          <w:rFonts w:ascii="Bookman Old Style" w:hAnsi="Bookman Old Style"/>
          <w:sz w:val="24"/>
          <w:szCs w:val="24"/>
        </w:rPr>
        <w:footnoteReference w:id="40"/>
      </w:r>
      <w:r w:rsidR="001F423B">
        <w:rPr>
          <w:rFonts w:ascii="Bookman Old Style" w:hAnsi="Bookman Old Style"/>
          <w:sz w:val="24"/>
          <w:szCs w:val="24"/>
        </w:rPr>
        <w:t xml:space="preserve"> </w:t>
      </w:r>
    </w:p>
    <w:p w14:paraId="301D8B57" w14:textId="6FD0C10E" w:rsidR="00D433CB" w:rsidRDefault="00FC1FC8" w:rsidP="00C216EC">
      <w:pPr>
        <w:tabs>
          <w:tab w:val="left" w:pos="6030"/>
        </w:tabs>
        <w:spacing w:line="360" w:lineRule="auto"/>
        <w:rPr>
          <w:rFonts w:ascii="Bookman Old Style" w:hAnsi="Bookman Old Style"/>
          <w:i/>
          <w:iCs/>
          <w:sz w:val="24"/>
          <w:szCs w:val="24"/>
        </w:rPr>
      </w:pPr>
      <w:r>
        <w:rPr>
          <w:rFonts w:ascii="Bookman Old Style" w:hAnsi="Bookman Old Style"/>
          <w:sz w:val="24"/>
          <w:szCs w:val="24"/>
        </w:rPr>
        <w:t xml:space="preserve">Contrasting this with broad definition, </w:t>
      </w:r>
      <w:r w:rsidR="00C216EC">
        <w:rPr>
          <w:rFonts w:ascii="Bookman Old Style" w:hAnsi="Bookman Old Style"/>
          <w:sz w:val="24"/>
          <w:szCs w:val="24"/>
        </w:rPr>
        <w:t>registration</w:t>
      </w:r>
      <w:r>
        <w:rPr>
          <w:rFonts w:ascii="Bookman Old Style" w:hAnsi="Bookman Old Style"/>
          <w:sz w:val="24"/>
          <w:szCs w:val="24"/>
        </w:rPr>
        <w:t xml:space="preserve"> requirement and revocation/suspension powers seems to have been </w:t>
      </w:r>
      <w:r w:rsidR="00AF6E46">
        <w:rPr>
          <w:rFonts w:ascii="Bookman Old Style" w:hAnsi="Bookman Old Style"/>
          <w:sz w:val="24"/>
          <w:szCs w:val="24"/>
        </w:rPr>
        <w:t>again fa</w:t>
      </w:r>
      <w:r w:rsidR="00C216EC">
        <w:rPr>
          <w:rFonts w:ascii="Bookman Old Style" w:hAnsi="Bookman Old Style"/>
          <w:sz w:val="24"/>
          <w:szCs w:val="24"/>
        </w:rPr>
        <w:t>iled</w:t>
      </w:r>
      <w:r>
        <w:rPr>
          <w:rFonts w:ascii="Bookman Old Style" w:hAnsi="Bookman Old Style"/>
          <w:sz w:val="24"/>
          <w:szCs w:val="24"/>
        </w:rPr>
        <w:t xml:space="preserve"> international standards on journalistic protection of sources </w:t>
      </w:r>
      <w:r w:rsidR="00C216EC">
        <w:rPr>
          <w:rFonts w:ascii="Bookman Old Style" w:hAnsi="Bookman Old Style"/>
          <w:sz w:val="24"/>
          <w:szCs w:val="24"/>
        </w:rPr>
        <w:t>as in</w:t>
      </w:r>
      <w:r>
        <w:rPr>
          <w:rFonts w:ascii="Bookman Old Style" w:hAnsi="Bookman Old Style"/>
          <w:sz w:val="24"/>
          <w:szCs w:val="24"/>
        </w:rPr>
        <w:t xml:space="preserve"> General comment no. 34</w:t>
      </w:r>
      <w:r>
        <w:rPr>
          <w:rStyle w:val="FootnoteReference"/>
          <w:rFonts w:ascii="Bookman Old Style" w:hAnsi="Bookman Old Style"/>
          <w:sz w:val="24"/>
          <w:szCs w:val="24"/>
        </w:rPr>
        <w:footnoteReference w:id="41"/>
      </w:r>
      <w:r>
        <w:rPr>
          <w:rFonts w:ascii="Bookman Old Style" w:hAnsi="Bookman Old Style"/>
          <w:sz w:val="24"/>
          <w:szCs w:val="24"/>
        </w:rPr>
        <w:t>, European court of human rights Whistleblower protection</w:t>
      </w:r>
      <w:r>
        <w:rPr>
          <w:rStyle w:val="FootnoteReference"/>
          <w:rFonts w:ascii="Bookman Old Style" w:hAnsi="Bookman Old Style"/>
          <w:sz w:val="24"/>
          <w:szCs w:val="24"/>
        </w:rPr>
        <w:footnoteReference w:id="42"/>
      </w:r>
      <w:r>
        <w:rPr>
          <w:rFonts w:ascii="Bookman Old Style" w:hAnsi="Bookman Old Style"/>
          <w:sz w:val="24"/>
          <w:szCs w:val="24"/>
        </w:rPr>
        <w:t>, Principle XV of the declaration of principles of freedom of expression adopted by the African commission on Human and People’s rights</w:t>
      </w:r>
      <w:r>
        <w:rPr>
          <w:rStyle w:val="FootnoteReference"/>
          <w:rFonts w:ascii="Bookman Old Style" w:hAnsi="Bookman Old Style"/>
          <w:sz w:val="24"/>
          <w:szCs w:val="24"/>
        </w:rPr>
        <w:footnoteReference w:id="43"/>
      </w:r>
      <w:r>
        <w:rPr>
          <w:rFonts w:ascii="Bookman Old Style" w:hAnsi="Bookman Old Style"/>
          <w:sz w:val="24"/>
          <w:szCs w:val="24"/>
        </w:rPr>
        <w:t xml:space="preserve"> and the Declaration of Principles on Freedom of expression adopted by the Inter-American commission on Human Rights.</w:t>
      </w:r>
      <w:r>
        <w:rPr>
          <w:rStyle w:val="FootnoteReference"/>
          <w:rFonts w:ascii="Bookman Old Style" w:hAnsi="Bookman Old Style"/>
          <w:sz w:val="24"/>
          <w:szCs w:val="24"/>
        </w:rPr>
        <w:footnoteReference w:id="44"/>
      </w:r>
    </w:p>
    <w:p w14:paraId="30861C14" w14:textId="74E52FE5" w:rsidR="000500BD" w:rsidRPr="00E12D45" w:rsidRDefault="00ED1112" w:rsidP="009033C3">
      <w:pPr>
        <w:tabs>
          <w:tab w:val="left" w:pos="6030"/>
        </w:tabs>
        <w:spacing w:line="360" w:lineRule="auto"/>
        <w:rPr>
          <w:rFonts w:ascii="Bookman Old Style" w:hAnsi="Bookman Old Style"/>
          <w:b/>
          <w:bCs/>
          <w:sz w:val="24"/>
          <w:szCs w:val="24"/>
        </w:rPr>
      </w:pPr>
      <w:r>
        <w:rPr>
          <w:rFonts w:ascii="Bookman Old Style" w:hAnsi="Bookman Old Style"/>
          <w:b/>
          <w:bCs/>
          <w:sz w:val="24"/>
          <w:szCs w:val="24"/>
        </w:rPr>
        <w:t>Concluding</w:t>
      </w:r>
      <w:r w:rsidR="000500BD" w:rsidRPr="00E12D45">
        <w:rPr>
          <w:rFonts w:ascii="Bookman Old Style" w:hAnsi="Bookman Old Style"/>
          <w:b/>
          <w:bCs/>
          <w:sz w:val="24"/>
          <w:szCs w:val="24"/>
        </w:rPr>
        <w:t xml:space="preserve"> remarks </w:t>
      </w:r>
    </w:p>
    <w:p w14:paraId="7AB7DD8F" w14:textId="122998F6" w:rsidR="000500BD" w:rsidRDefault="007B3BB5" w:rsidP="009033C3">
      <w:pPr>
        <w:tabs>
          <w:tab w:val="left" w:pos="6030"/>
        </w:tabs>
        <w:spacing w:line="360" w:lineRule="auto"/>
        <w:rPr>
          <w:rFonts w:ascii="Bookman Old Style" w:hAnsi="Bookman Old Style"/>
          <w:sz w:val="24"/>
          <w:szCs w:val="24"/>
        </w:rPr>
      </w:pPr>
      <w:r>
        <w:rPr>
          <w:rFonts w:ascii="Bookman Old Style" w:hAnsi="Bookman Old Style"/>
          <w:sz w:val="24"/>
          <w:szCs w:val="24"/>
        </w:rPr>
        <w:t>MR5</w:t>
      </w:r>
      <w:r w:rsidR="000500BD">
        <w:rPr>
          <w:rFonts w:ascii="Bookman Old Style" w:hAnsi="Bookman Old Style"/>
          <w:sz w:val="24"/>
          <w:szCs w:val="24"/>
        </w:rPr>
        <w:t xml:space="preserve"> aims to achieve a comprehensive overhaul of the regulatory framework of the country. However, it falls into the typical </w:t>
      </w:r>
      <w:r w:rsidR="00B510FB">
        <w:rPr>
          <w:rFonts w:ascii="Bookman Old Style" w:hAnsi="Bookman Old Style"/>
          <w:sz w:val="24"/>
          <w:szCs w:val="24"/>
        </w:rPr>
        <w:t>pitfalls where state governments try to get a handle on digital environment by exercising more control over the digital landscape than necessary</w:t>
      </w:r>
      <w:r w:rsidR="00ED1112">
        <w:rPr>
          <w:rFonts w:ascii="Bookman Old Style" w:hAnsi="Bookman Old Style"/>
          <w:sz w:val="24"/>
          <w:szCs w:val="24"/>
        </w:rPr>
        <w:t>,</w:t>
      </w:r>
      <w:r w:rsidR="00DD0A34">
        <w:rPr>
          <w:rFonts w:ascii="Bookman Old Style" w:hAnsi="Bookman Old Style"/>
          <w:sz w:val="24"/>
          <w:szCs w:val="24"/>
        </w:rPr>
        <w:t xml:space="preserve"> for example the </w:t>
      </w:r>
      <w:proofErr w:type="spellStart"/>
      <w:r w:rsidR="00DD0A34">
        <w:rPr>
          <w:rFonts w:ascii="Bookman Old Style" w:hAnsi="Bookman Old Style"/>
          <w:sz w:val="24"/>
          <w:szCs w:val="24"/>
        </w:rPr>
        <w:t>Krygz</w:t>
      </w:r>
      <w:proofErr w:type="spellEnd"/>
      <w:r w:rsidR="00DD0A34">
        <w:rPr>
          <w:rFonts w:ascii="Bookman Old Style" w:hAnsi="Bookman Old Style"/>
          <w:sz w:val="24"/>
          <w:szCs w:val="24"/>
        </w:rPr>
        <w:t xml:space="preserve"> Republic came out with a draft media law bill which had similar provisions to the Indian Telecommunications Bill, 2023 regarding mandatory</w:t>
      </w:r>
      <w:r w:rsidR="009033C3">
        <w:rPr>
          <w:rFonts w:ascii="Bookman Old Style" w:hAnsi="Bookman Old Style"/>
          <w:sz w:val="24"/>
          <w:szCs w:val="24"/>
        </w:rPr>
        <w:t xml:space="preserve"> </w:t>
      </w:r>
      <w:r w:rsidR="00DD0A34">
        <w:rPr>
          <w:rFonts w:ascii="Bookman Old Style" w:hAnsi="Bookman Old Style"/>
          <w:sz w:val="24"/>
          <w:szCs w:val="24"/>
        </w:rPr>
        <w:lastRenderedPageBreak/>
        <w:t>authorisation and overly broad definition</w:t>
      </w:r>
      <w:r w:rsidR="00266D01">
        <w:rPr>
          <w:rFonts w:ascii="Bookman Old Style" w:hAnsi="Bookman Old Style"/>
          <w:sz w:val="24"/>
          <w:szCs w:val="24"/>
        </w:rPr>
        <w:t>s</w:t>
      </w:r>
      <w:r>
        <w:rPr>
          <w:rFonts w:ascii="Bookman Old Style" w:hAnsi="Bookman Old Style"/>
          <w:sz w:val="24"/>
          <w:szCs w:val="24"/>
        </w:rPr>
        <w:t>.</w:t>
      </w:r>
      <w:r w:rsidR="00266D01">
        <w:rPr>
          <w:rStyle w:val="FootnoteReference"/>
          <w:rFonts w:ascii="Bookman Old Style" w:hAnsi="Bookman Old Style"/>
          <w:sz w:val="24"/>
          <w:szCs w:val="24"/>
        </w:rPr>
        <w:footnoteReference w:id="45"/>
      </w:r>
      <w:r w:rsidR="00DD0A34">
        <w:rPr>
          <w:rFonts w:ascii="Bookman Old Style" w:hAnsi="Bookman Old Style"/>
          <w:sz w:val="24"/>
          <w:szCs w:val="24"/>
        </w:rPr>
        <w:t xml:space="preserve"> China</w:t>
      </w:r>
      <w:r w:rsidR="00266D01">
        <w:rPr>
          <w:rStyle w:val="FootnoteReference"/>
          <w:rFonts w:ascii="Bookman Old Style" w:hAnsi="Bookman Old Style"/>
          <w:sz w:val="24"/>
          <w:szCs w:val="24"/>
        </w:rPr>
        <w:footnoteReference w:id="46"/>
      </w:r>
      <w:r w:rsidR="00266D01">
        <w:rPr>
          <w:rFonts w:ascii="Bookman Old Style" w:hAnsi="Bookman Old Style"/>
          <w:sz w:val="24"/>
          <w:szCs w:val="24"/>
        </w:rPr>
        <w:t>, Vietnam</w:t>
      </w:r>
      <w:r w:rsidR="00266D01">
        <w:rPr>
          <w:rStyle w:val="FootnoteReference"/>
          <w:rFonts w:ascii="Bookman Old Style" w:hAnsi="Bookman Old Style"/>
          <w:sz w:val="24"/>
          <w:szCs w:val="24"/>
        </w:rPr>
        <w:footnoteReference w:id="47"/>
      </w:r>
      <w:r>
        <w:rPr>
          <w:rFonts w:ascii="Bookman Old Style" w:hAnsi="Bookman Old Style"/>
          <w:sz w:val="24"/>
          <w:szCs w:val="24"/>
        </w:rPr>
        <w:t>, and</w:t>
      </w:r>
      <w:r w:rsidR="00266D01">
        <w:rPr>
          <w:rFonts w:ascii="Bookman Old Style" w:hAnsi="Bookman Old Style"/>
          <w:sz w:val="24"/>
          <w:szCs w:val="24"/>
        </w:rPr>
        <w:t xml:space="preserve"> </w:t>
      </w:r>
      <w:r w:rsidR="00DD0A34">
        <w:rPr>
          <w:rFonts w:ascii="Bookman Old Style" w:hAnsi="Bookman Old Style"/>
          <w:sz w:val="24"/>
          <w:szCs w:val="24"/>
        </w:rPr>
        <w:t>Russia</w:t>
      </w:r>
      <w:r w:rsidR="00266D01">
        <w:rPr>
          <w:rStyle w:val="FootnoteReference"/>
          <w:rFonts w:ascii="Bookman Old Style" w:hAnsi="Bookman Old Style"/>
          <w:sz w:val="24"/>
          <w:szCs w:val="24"/>
        </w:rPr>
        <w:footnoteReference w:id="48"/>
      </w:r>
      <w:r w:rsidR="00DD0A34">
        <w:rPr>
          <w:rFonts w:ascii="Bookman Old Style" w:hAnsi="Bookman Old Style"/>
          <w:sz w:val="24"/>
          <w:szCs w:val="24"/>
        </w:rPr>
        <w:t xml:space="preserve"> had real name registration mechanisms in place and as already discussed Korea and Mexico h</w:t>
      </w:r>
      <w:r w:rsidR="004E4A89">
        <w:rPr>
          <w:rFonts w:ascii="Bookman Old Style" w:hAnsi="Bookman Old Style"/>
          <w:sz w:val="24"/>
          <w:szCs w:val="24"/>
        </w:rPr>
        <w:t>ave held similar laws</w:t>
      </w:r>
      <w:r w:rsidR="00DD0A34">
        <w:rPr>
          <w:rFonts w:ascii="Bookman Old Style" w:hAnsi="Bookman Old Style"/>
          <w:sz w:val="24"/>
          <w:szCs w:val="24"/>
        </w:rPr>
        <w:t xml:space="preserve"> unconstitutional</w:t>
      </w:r>
      <w:r w:rsidR="00ED1112">
        <w:rPr>
          <w:rFonts w:ascii="Bookman Old Style" w:hAnsi="Bookman Old Style"/>
          <w:sz w:val="24"/>
          <w:szCs w:val="24"/>
        </w:rPr>
        <w:t xml:space="preserve">. </w:t>
      </w:r>
    </w:p>
    <w:p w14:paraId="1D9C2D0B" w14:textId="447259DB" w:rsidR="000500BD" w:rsidRPr="00D433CB" w:rsidRDefault="007B3BB5" w:rsidP="009033C3">
      <w:pPr>
        <w:tabs>
          <w:tab w:val="left" w:pos="6030"/>
        </w:tabs>
        <w:spacing w:line="360" w:lineRule="auto"/>
        <w:rPr>
          <w:rFonts w:ascii="Bookman Old Style" w:hAnsi="Bookman Old Style"/>
          <w:sz w:val="24"/>
          <w:szCs w:val="24"/>
        </w:rPr>
      </w:pPr>
      <w:r>
        <w:rPr>
          <w:rFonts w:ascii="Bookman Old Style" w:hAnsi="Bookman Old Style"/>
          <w:sz w:val="24"/>
          <w:szCs w:val="24"/>
        </w:rPr>
        <w:t>T</w:t>
      </w:r>
      <w:r w:rsidR="004E4A89">
        <w:rPr>
          <w:rFonts w:ascii="Bookman Old Style" w:hAnsi="Bookman Old Style"/>
          <w:sz w:val="24"/>
          <w:szCs w:val="24"/>
        </w:rPr>
        <w:t>he provisions result in a blanket ban on right to anonymity therefore failing to meet the necessary and proportionate requirement of the three-fold test.</w:t>
      </w:r>
      <w:r w:rsidR="004E4A89">
        <w:rPr>
          <w:rStyle w:val="FootnoteReference"/>
          <w:rFonts w:ascii="Bookman Old Style" w:hAnsi="Bookman Old Style"/>
          <w:sz w:val="24"/>
          <w:szCs w:val="24"/>
        </w:rPr>
        <w:footnoteReference w:id="49"/>
      </w:r>
      <w:r w:rsidR="004E4A89">
        <w:rPr>
          <w:rFonts w:ascii="Bookman Old Style" w:hAnsi="Bookman Old Style"/>
          <w:sz w:val="24"/>
          <w:szCs w:val="24"/>
        </w:rPr>
        <w:t xml:space="preserve"> Moreover, both these provisions can result in increased governmental capacity for surveillance and arbitrary interference with international human rights. </w:t>
      </w:r>
      <w:r w:rsidR="00266D01">
        <w:rPr>
          <w:rFonts w:ascii="Bookman Old Style" w:hAnsi="Bookman Old Style"/>
          <w:sz w:val="24"/>
          <w:szCs w:val="24"/>
        </w:rPr>
        <w:t>If the legitimate aim the government is seeking to achieve using these provisions is law enforcement, then u</w:t>
      </w:r>
      <w:r w:rsidR="004E4A89">
        <w:rPr>
          <w:rFonts w:ascii="Bookman Old Style" w:hAnsi="Bookman Old Style"/>
          <w:sz w:val="24"/>
          <w:szCs w:val="24"/>
        </w:rPr>
        <w:t>sing court orders in order to identify persons for law enforcement</w:t>
      </w:r>
      <w:r w:rsidR="00B907B4">
        <w:rPr>
          <w:rFonts w:ascii="Bookman Old Style" w:hAnsi="Bookman Old Style"/>
          <w:sz w:val="24"/>
          <w:szCs w:val="24"/>
        </w:rPr>
        <w:t xml:space="preserve"> </w:t>
      </w:r>
      <w:r w:rsidR="004E4A89">
        <w:rPr>
          <w:rFonts w:ascii="Bookman Old Style" w:hAnsi="Bookman Old Style"/>
          <w:sz w:val="24"/>
          <w:szCs w:val="24"/>
        </w:rPr>
        <w:t>purposes</w:t>
      </w:r>
      <w:r w:rsidR="00266D01">
        <w:rPr>
          <w:rFonts w:ascii="Bookman Old Style" w:hAnsi="Bookman Old Style"/>
          <w:sz w:val="24"/>
          <w:szCs w:val="24"/>
        </w:rPr>
        <w:t xml:space="preserve"> </w:t>
      </w:r>
      <w:r w:rsidR="00DC5CAC">
        <w:rPr>
          <w:rFonts w:ascii="Bookman Old Style" w:hAnsi="Bookman Old Style"/>
          <w:sz w:val="24"/>
          <w:szCs w:val="24"/>
        </w:rPr>
        <w:t>are</w:t>
      </w:r>
      <w:r w:rsidR="00266D01">
        <w:rPr>
          <w:rFonts w:ascii="Bookman Old Style" w:hAnsi="Bookman Old Style"/>
          <w:sz w:val="24"/>
          <w:szCs w:val="24"/>
        </w:rPr>
        <w:t xml:space="preserve"> a good approach that countries like </w:t>
      </w:r>
      <w:r w:rsidR="009033C3">
        <w:rPr>
          <w:rFonts w:ascii="Bookman Old Style" w:hAnsi="Bookman Old Style"/>
          <w:sz w:val="24"/>
          <w:szCs w:val="24"/>
        </w:rPr>
        <w:t>France</w:t>
      </w:r>
      <w:r w:rsidR="009033C3">
        <w:rPr>
          <w:rStyle w:val="FootnoteReference"/>
          <w:rFonts w:ascii="Bookman Old Style" w:hAnsi="Bookman Old Style"/>
          <w:sz w:val="24"/>
          <w:szCs w:val="24"/>
        </w:rPr>
        <w:footnoteReference w:id="50"/>
      </w:r>
      <w:r w:rsidR="009033C3">
        <w:rPr>
          <w:rFonts w:ascii="Bookman Old Style" w:hAnsi="Bookman Old Style"/>
          <w:sz w:val="24"/>
          <w:szCs w:val="24"/>
        </w:rPr>
        <w:t xml:space="preserve"> Canada</w:t>
      </w:r>
      <w:r w:rsidR="009033C3">
        <w:rPr>
          <w:rStyle w:val="FootnoteReference"/>
          <w:rFonts w:ascii="Bookman Old Style" w:hAnsi="Bookman Old Style"/>
          <w:sz w:val="24"/>
          <w:szCs w:val="24"/>
        </w:rPr>
        <w:footnoteReference w:id="51"/>
      </w:r>
      <w:r w:rsidR="009033C3">
        <w:rPr>
          <w:rFonts w:ascii="Bookman Old Style" w:hAnsi="Bookman Old Style"/>
          <w:sz w:val="24"/>
          <w:szCs w:val="24"/>
        </w:rPr>
        <w:t xml:space="preserve"> and US</w:t>
      </w:r>
      <w:r w:rsidR="009033C3">
        <w:rPr>
          <w:rStyle w:val="FootnoteReference"/>
          <w:rFonts w:ascii="Bookman Old Style" w:hAnsi="Bookman Old Style"/>
          <w:sz w:val="24"/>
          <w:szCs w:val="24"/>
        </w:rPr>
        <w:footnoteReference w:id="52"/>
      </w:r>
      <w:r w:rsidR="009033C3">
        <w:rPr>
          <w:rFonts w:ascii="Bookman Old Style" w:hAnsi="Bookman Old Style"/>
          <w:sz w:val="24"/>
          <w:szCs w:val="24"/>
        </w:rPr>
        <w:t xml:space="preserve"> follow. </w:t>
      </w:r>
    </w:p>
    <w:sectPr w:rsidR="000500BD" w:rsidRPr="00D433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D5F87" w14:textId="77777777" w:rsidR="00B87509" w:rsidRDefault="00B87509" w:rsidP="007F7CAF">
      <w:pPr>
        <w:spacing w:after="0" w:line="240" w:lineRule="auto"/>
      </w:pPr>
      <w:r>
        <w:separator/>
      </w:r>
    </w:p>
  </w:endnote>
  <w:endnote w:type="continuationSeparator" w:id="0">
    <w:p w14:paraId="6BF101FA" w14:textId="77777777" w:rsidR="00B87509" w:rsidRDefault="00B87509" w:rsidP="007F7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Serif">
    <w:altName w:val="Cambria"/>
    <w:panose1 w:val="020B0604020202020204"/>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B7033" w14:textId="77777777" w:rsidR="00B87509" w:rsidRDefault="00B87509" w:rsidP="007F7CAF">
      <w:pPr>
        <w:spacing w:after="0" w:line="240" w:lineRule="auto"/>
      </w:pPr>
      <w:r>
        <w:separator/>
      </w:r>
    </w:p>
  </w:footnote>
  <w:footnote w:type="continuationSeparator" w:id="0">
    <w:p w14:paraId="2F1BBEEE" w14:textId="77777777" w:rsidR="00B87509" w:rsidRDefault="00B87509" w:rsidP="007F7CAF">
      <w:pPr>
        <w:spacing w:after="0" w:line="240" w:lineRule="auto"/>
      </w:pPr>
      <w:r>
        <w:continuationSeparator/>
      </w:r>
    </w:p>
  </w:footnote>
  <w:footnote w:id="1">
    <w:p w14:paraId="3976AB83" w14:textId="52477E30" w:rsidR="00594E72" w:rsidRPr="00C47083" w:rsidRDefault="00594E72">
      <w:pPr>
        <w:pStyle w:val="FootnoteText"/>
        <w:rPr>
          <w:rFonts w:cstheme="minorHAnsi"/>
          <w:lang w:val="en-US"/>
        </w:rPr>
      </w:pPr>
      <w:r w:rsidRPr="00C47083">
        <w:rPr>
          <w:rStyle w:val="FootnoteReference"/>
          <w:rFonts w:cstheme="minorHAnsi"/>
        </w:rPr>
        <w:footnoteRef/>
      </w:r>
      <w:r w:rsidRPr="00C47083">
        <w:rPr>
          <w:rFonts w:cstheme="minorHAnsi"/>
        </w:rPr>
        <w:t xml:space="preserve"> </w:t>
      </w:r>
      <w:r w:rsidRPr="00C47083">
        <w:rPr>
          <w:rFonts w:cstheme="minorHAnsi"/>
          <w:lang w:val="en-US"/>
        </w:rPr>
        <w:t>David Kay</w:t>
      </w:r>
      <w:r w:rsidR="00070FDA" w:rsidRPr="00C47083">
        <w:rPr>
          <w:rFonts w:cstheme="minorHAnsi"/>
          <w:lang w:val="en-US"/>
        </w:rPr>
        <w:t>e</w:t>
      </w:r>
      <w:r w:rsidRPr="00C47083">
        <w:rPr>
          <w:rFonts w:cstheme="minorHAnsi"/>
          <w:lang w:val="en-US"/>
        </w:rPr>
        <w:t>,</w:t>
      </w:r>
      <w:r w:rsidR="00070FDA" w:rsidRPr="00C47083">
        <w:rPr>
          <w:rFonts w:cstheme="minorHAnsi"/>
          <w:lang w:val="en-US"/>
        </w:rPr>
        <w:t xml:space="preserve"> Supra Note 1, </w:t>
      </w:r>
      <w:r w:rsidR="00653DF6" w:rsidRPr="00C47083">
        <w:rPr>
          <w:rFonts w:cstheme="minorHAnsi"/>
          <w:lang w:val="en-US"/>
        </w:rPr>
        <w:t xml:space="preserve">¶ </w:t>
      </w:r>
      <w:r w:rsidRPr="00C47083">
        <w:rPr>
          <w:rFonts w:cstheme="minorHAnsi"/>
          <w:lang w:val="en-US"/>
        </w:rPr>
        <w:t>9</w:t>
      </w:r>
      <w:r w:rsidR="00653DF6" w:rsidRPr="00C47083">
        <w:rPr>
          <w:rFonts w:cstheme="minorHAnsi"/>
          <w:lang w:val="en-US"/>
        </w:rPr>
        <w:t xml:space="preserve">. </w:t>
      </w:r>
      <w:r w:rsidRPr="00C47083">
        <w:rPr>
          <w:rFonts w:cstheme="minorHAnsi"/>
          <w:lang w:val="en-US"/>
        </w:rPr>
        <w:t xml:space="preserve"> </w:t>
      </w:r>
    </w:p>
  </w:footnote>
  <w:footnote w:id="2">
    <w:p w14:paraId="268FA1C6" w14:textId="08780550" w:rsidR="00797340" w:rsidRPr="00C47083" w:rsidRDefault="00797340">
      <w:pPr>
        <w:pStyle w:val="FootnoteText"/>
        <w:rPr>
          <w:rFonts w:cstheme="minorHAnsi"/>
          <w:lang w:val="en-US"/>
        </w:rPr>
      </w:pPr>
      <w:r w:rsidRPr="00C47083">
        <w:rPr>
          <w:rStyle w:val="FootnoteReference"/>
          <w:rFonts w:cstheme="minorHAnsi"/>
        </w:rPr>
        <w:footnoteRef/>
      </w:r>
      <w:r w:rsidRPr="00C47083">
        <w:rPr>
          <w:rFonts w:cstheme="minorHAnsi"/>
        </w:rPr>
        <w:t xml:space="preserve"> </w:t>
      </w:r>
      <w:r w:rsidRPr="00C47083">
        <w:rPr>
          <w:rFonts w:cstheme="minorHAnsi"/>
          <w:lang w:val="en-US"/>
        </w:rPr>
        <w:t xml:space="preserve">Id.  </w:t>
      </w:r>
    </w:p>
  </w:footnote>
  <w:footnote w:id="3">
    <w:p w14:paraId="0CA93B43" w14:textId="2FFEE0AC" w:rsidR="00B7688F" w:rsidRPr="00C47083" w:rsidRDefault="00B7688F">
      <w:pPr>
        <w:pStyle w:val="FootnoteText"/>
        <w:rPr>
          <w:rFonts w:cstheme="minorHAnsi"/>
          <w:lang w:val="en-US"/>
        </w:rPr>
      </w:pPr>
      <w:r w:rsidRPr="00C47083">
        <w:rPr>
          <w:rStyle w:val="FootnoteReference"/>
          <w:rFonts w:cstheme="minorHAnsi"/>
        </w:rPr>
        <w:footnoteRef/>
      </w:r>
      <w:r w:rsidRPr="00C47083">
        <w:rPr>
          <w:rFonts w:cstheme="minorHAnsi"/>
        </w:rPr>
        <w:t xml:space="preserve"> </w:t>
      </w:r>
      <w:r w:rsidR="00070FDA" w:rsidRPr="00C47083">
        <w:rPr>
          <w:rFonts w:cstheme="minorHAnsi"/>
        </w:rPr>
        <w:t xml:space="preserve">Report of the Special Rapporteur on the promotion and protection of the right to freedom of opinion and expression, Human rights Council, U.N. </w:t>
      </w:r>
      <w:proofErr w:type="spellStart"/>
      <w:r w:rsidR="00070FDA" w:rsidRPr="00C47083">
        <w:rPr>
          <w:rFonts w:cstheme="minorHAnsi"/>
        </w:rPr>
        <w:t>Doc.A</w:t>
      </w:r>
      <w:proofErr w:type="spellEnd"/>
      <w:r w:rsidR="00070FDA" w:rsidRPr="00C47083">
        <w:rPr>
          <w:rFonts w:cstheme="minorHAnsi"/>
        </w:rPr>
        <w:t xml:space="preserve">/HRC/17/17 (May. 16, 2011) (by Frank La Rue) </w:t>
      </w:r>
      <w:r w:rsidR="00653DF6" w:rsidRPr="00C47083">
        <w:rPr>
          <w:rFonts w:cstheme="minorHAnsi"/>
        </w:rPr>
        <w:t xml:space="preserve">¶ </w:t>
      </w:r>
      <w:r w:rsidRPr="00C47083">
        <w:rPr>
          <w:rFonts w:cstheme="minorHAnsi"/>
          <w:lang w:val="en-US"/>
        </w:rPr>
        <w:t xml:space="preserve">53. </w:t>
      </w:r>
    </w:p>
  </w:footnote>
  <w:footnote w:id="4">
    <w:p w14:paraId="63DDEE4C" w14:textId="2E0E593C" w:rsidR="000C132D" w:rsidRPr="00C47083" w:rsidRDefault="000C132D">
      <w:pPr>
        <w:pStyle w:val="FootnoteText"/>
        <w:rPr>
          <w:rFonts w:cstheme="minorHAnsi"/>
          <w:lang w:val="en-US"/>
        </w:rPr>
      </w:pPr>
      <w:r w:rsidRPr="00C47083">
        <w:rPr>
          <w:rStyle w:val="FootnoteReference"/>
          <w:rFonts w:cstheme="minorHAnsi"/>
        </w:rPr>
        <w:footnoteRef/>
      </w:r>
      <w:r w:rsidRPr="00C47083">
        <w:rPr>
          <w:rFonts w:cstheme="minorHAnsi"/>
        </w:rPr>
        <w:t xml:space="preserve"> </w:t>
      </w:r>
      <w:r w:rsidR="00BD7D90" w:rsidRPr="00C47083">
        <w:rPr>
          <w:rFonts w:cstheme="minorHAnsi"/>
        </w:rPr>
        <w:t xml:space="preserve">Privacy, Free expression and transparency (Redefining their new boundaries in the digital age) </w:t>
      </w:r>
      <w:r w:rsidRPr="00C47083">
        <w:rPr>
          <w:rFonts w:cstheme="minorHAnsi"/>
        </w:rPr>
        <w:t>Page 77</w:t>
      </w:r>
      <w:r w:rsidR="00BD7D90" w:rsidRPr="00C47083">
        <w:rPr>
          <w:rFonts w:cstheme="minorHAnsi"/>
        </w:rPr>
        <w:t>.</w:t>
      </w:r>
    </w:p>
  </w:footnote>
  <w:footnote w:id="5">
    <w:p w14:paraId="31B04A37" w14:textId="71DC46E8" w:rsidR="004E59F3" w:rsidRPr="00C47083" w:rsidRDefault="004E59F3">
      <w:pPr>
        <w:pStyle w:val="FootnoteText"/>
        <w:rPr>
          <w:rFonts w:cstheme="minorHAnsi"/>
          <w:lang w:val="en-US"/>
        </w:rPr>
      </w:pPr>
      <w:r w:rsidRPr="00C47083">
        <w:rPr>
          <w:rStyle w:val="FootnoteReference"/>
          <w:rFonts w:cstheme="minorHAnsi"/>
        </w:rPr>
        <w:footnoteRef/>
      </w:r>
      <w:r w:rsidR="00AF6E46" w:rsidRPr="00AF6E46">
        <w:rPr>
          <w:rFonts w:cstheme="minorHAnsi"/>
        </w:rPr>
        <w:t>Alex Hern</w:t>
      </w:r>
      <w:r w:rsidR="00AF6E46">
        <w:rPr>
          <w:rFonts w:cstheme="minorHAnsi"/>
        </w:rPr>
        <w:t xml:space="preserve">, </w:t>
      </w:r>
      <w:r w:rsidR="00AF6E46" w:rsidRPr="00AF6E46">
        <w:rPr>
          <w:rFonts w:cstheme="minorHAnsi"/>
        </w:rPr>
        <w:t>Cambridge Analytica: how did it turn clicks into votes?</w:t>
      </w:r>
      <w:r w:rsidR="00AF6E46">
        <w:rPr>
          <w:rFonts w:cstheme="minorHAnsi"/>
        </w:rPr>
        <w:t>, The Guardian (May 6, 2018),</w:t>
      </w:r>
      <w:r w:rsidRPr="00C47083">
        <w:rPr>
          <w:rFonts w:cstheme="minorHAnsi"/>
        </w:rPr>
        <w:t xml:space="preserve"> </w:t>
      </w:r>
      <w:hyperlink r:id="rId1" w:history="1">
        <w:r w:rsidR="00FC1FC8" w:rsidRPr="00970CA9">
          <w:rPr>
            <w:rStyle w:val="Hyperlink"/>
            <w:rFonts w:cstheme="minorHAnsi"/>
          </w:rPr>
          <w:t>https://www.theguardian.com/news/2018/may/06/cambridge-analytica-how-turn-clicks-into-votes-christopher-wylie</w:t>
        </w:r>
      </w:hyperlink>
      <w:r w:rsidR="00AF6E46">
        <w:rPr>
          <w:rFonts w:cstheme="minorHAnsi"/>
        </w:rPr>
        <w:t xml:space="preserve">. </w:t>
      </w:r>
    </w:p>
  </w:footnote>
  <w:footnote w:id="6">
    <w:p w14:paraId="7B1A7CFB" w14:textId="4CF5EE33" w:rsidR="00D82326" w:rsidRPr="00C47083" w:rsidRDefault="00D82326">
      <w:pPr>
        <w:pStyle w:val="FootnoteText"/>
        <w:rPr>
          <w:rFonts w:cstheme="minorHAnsi"/>
          <w:lang w:val="en-US"/>
        </w:rPr>
      </w:pPr>
      <w:r w:rsidRPr="00C47083">
        <w:rPr>
          <w:rStyle w:val="FootnoteReference"/>
          <w:rFonts w:cstheme="minorHAnsi"/>
        </w:rPr>
        <w:footnoteRef/>
      </w:r>
      <w:r w:rsidRPr="00C47083">
        <w:rPr>
          <w:rFonts w:cstheme="minorHAnsi"/>
        </w:rPr>
        <w:t xml:space="preserve"> </w:t>
      </w:r>
      <w:r w:rsidR="003E3480" w:rsidRPr="00C47083">
        <w:rPr>
          <w:rFonts w:cstheme="minorHAnsi"/>
        </w:rPr>
        <w:t>Universal Declaration of Human Rights, Dec. 8, 1948, art</w:t>
      </w:r>
      <w:r w:rsidR="00BD7D90" w:rsidRPr="00C47083">
        <w:rPr>
          <w:rFonts w:cstheme="minorHAnsi"/>
        </w:rPr>
        <w:t xml:space="preserve"> 12</w:t>
      </w:r>
      <w:r w:rsidR="003E3480" w:rsidRPr="00C47083">
        <w:rPr>
          <w:rFonts w:cstheme="minorHAnsi"/>
        </w:rPr>
        <w:t xml:space="preserve"> &amp; </w:t>
      </w:r>
      <w:r w:rsidR="00BD7D90" w:rsidRPr="00C47083">
        <w:rPr>
          <w:rFonts w:cstheme="minorHAnsi"/>
        </w:rPr>
        <w:t xml:space="preserve">18. </w:t>
      </w:r>
    </w:p>
  </w:footnote>
  <w:footnote w:id="7">
    <w:p w14:paraId="5BD76F35" w14:textId="057989AD" w:rsidR="00BD7D90" w:rsidRPr="00C47083" w:rsidRDefault="00BD7D90">
      <w:pPr>
        <w:pStyle w:val="FootnoteText"/>
        <w:rPr>
          <w:rFonts w:cstheme="minorHAnsi"/>
          <w:lang w:val="en-US"/>
        </w:rPr>
      </w:pPr>
      <w:r w:rsidRPr="00C47083">
        <w:rPr>
          <w:rStyle w:val="FootnoteReference"/>
          <w:rFonts w:cstheme="minorHAnsi"/>
        </w:rPr>
        <w:footnoteRef/>
      </w:r>
      <w:r w:rsidRPr="00C47083">
        <w:rPr>
          <w:rFonts w:cstheme="minorHAnsi"/>
        </w:rPr>
        <w:t xml:space="preserve"> </w:t>
      </w:r>
      <w:r w:rsidR="003E3480" w:rsidRPr="00C47083">
        <w:rPr>
          <w:rFonts w:cstheme="minorHAnsi"/>
        </w:rPr>
        <w:t>International Covenant on Civil and Political Rights, Dec. 16, 1966, art</w:t>
      </w:r>
      <w:r w:rsidRPr="00C47083">
        <w:rPr>
          <w:rFonts w:cstheme="minorHAnsi"/>
        </w:rPr>
        <w:t xml:space="preserve"> 17 </w:t>
      </w:r>
      <w:r w:rsidR="003E3480" w:rsidRPr="00C47083">
        <w:rPr>
          <w:rFonts w:cstheme="minorHAnsi"/>
        </w:rPr>
        <w:t xml:space="preserve">-18. </w:t>
      </w:r>
    </w:p>
  </w:footnote>
  <w:footnote w:id="8">
    <w:p w14:paraId="7DB3D332" w14:textId="3B84FEFA" w:rsidR="00437226" w:rsidRPr="00C47083" w:rsidRDefault="00437226">
      <w:pPr>
        <w:pStyle w:val="FootnoteText"/>
        <w:rPr>
          <w:rFonts w:cstheme="minorHAnsi"/>
          <w:lang w:val="en-US"/>
        </w:rPr>
      </w:pPr>
      <w:r w:rsidRPr="00C47083">
        <w:rPr>
          <w:rStyle w:val="FootnoteReference"/>
          <w:rFonts w:cstheme="minorHAnsi"/>
        </w:rPr>
        <w:footnoteRef/>
      </w:r>
      <w:r w:rsidRPr="00C47083">
        <w:rPr>
          <w:rFonts w:cstheme="minorHAnsi"/>
        </w:rPr>
        <w:t xml:space="preserve"> </w:t>
      </w:r>
      <w:proofErr w:type="spellStart"/>
      <w:r w:rsidR="00653DF6" w:rsidRPr="00C47083">
        <w:rPr>
          <w:rFonts w:cstheme="minorHAnsi"/>
        </w:rPr>
        <w:t>Puttaswamy</w:t>
      </w:r>
      <w:proofErr w:type="spellEnd"/>
      <w:r w:rsidR="00653DF6" w:rsidRPr="00C47083">
        <w:rPr>
          <w:rFonts w:cstheme="minorHAnsi"/>
        </w:rPr>
        <w:t xml:space="preserve"> v. Union of India, </w:t>
      </w:r>
      <w:r w:rsidRPr="00C47083">
        <w:rPr>
          <w:rFonts w:cstheme="minorHAnsi"/>
        </w:rPr>
        <w:t>(2017) 10 SCC 1</w:t>
      </w:r>
      <w:r w:rsidR="00653DF6" w:rsidRPr="00C47083">
        <w:rPr>
          <w:rFonts w:cstheme="minorHAnsi"/>
        </w:rPr>
        <w:t xml:space="preserve"> (India).</w:t>
      </w:r>
    </w:p>
  </w:footnote>
  <w:footnote w:id="9">
    <w:p w14:paraId="5E8571B8" w14:textId="73FC6D96" w:rsidR="00437226" w:rsidRPr="00C47083" w:rsidRDefault="00437226">
      <w:pPr>
        <w:pStyle w:val="FootnoteText"/>
        <w:rPr>
          <w:rFonts w:cstheme="minorHAnsi"/>
          <w:lang w:val="en-US"/>
        </w:rPr>
      </w:pPr>
      <w:r w:rsidRPr="00C47083">
        <w:rPr>
          <w:rStyle w:val="FootnoteReference"/>
          <w:rFonts w:cstheme="minorHAnsi"/>
        </w:rPr>
        <w:footnoteRef/>
      </w:r>
      <w:r w:rsidRPr="00C47083">
        <w:rPr>
          <w:rFonts w:cstheme="minorHAnsi"/>
        </w:rPr>
        <w:t xml:space="preserve"> </w:t>
      </w:r>
      <w:r w:rsidR="00653DF6" w:rsidRPr="00C47083">
        <w:rPr>
          <w:rFonts w:cstheme="minorHAnsi"/>
        </w:rPr>
        <w:t xml:space="preserve">India Const. art. 19. </w:t>
      </w:r>
    </w:p>
  </w:footnote>
  <w:footnote w:id="10">
    <w:p w14:paraId="3E177CA7" w14:textId="774E1B98" w:rsidR="00672269" w:rsidRPr="00C47083" w:rsidRDefault="00672269">
      <w:pPr>
        <w:pStyle w:val="FootnoteText"/>
        <w:rPr>
          <w:rFonts w:cstheme="minorHAnsi"/>
          <w:lang w:val="en-US"/>
        </w:rPr>
      </w:pPr>
      <w:r w:rsidRPr="00C47083">
        <w:rPr>
          <w:rStyle w:val="FootnoteReference"/>
          <w:rFonts w:cstheme="minorHAnsi"/>
        </w:rPr>
        <w:footnoteRef/>
      </w:r>
      <w:r w:rsidRPr="00C47083">
        <w:rPr>
          <w:rFonts w:cstheme="minorHAnsi"/>
        </w:rPr>
        <w:t xml:space="preserve"> </w:t>
      </w:r>
      <w:r w:rsidR="00653DF6" w:rsidRPr="00C47083">
        <w:rPr>
          <w:rFonts w:cstheme="minorHAnsi"/>
        </w:rPr>
        <w:t>UN Human rights committee, General Comment No. 34, ¶</w:t>
      </w:r>
      <w:r w:rsidRPr="00C47083">
        <w:rPr>
          <w:rFonts w:cstheme="minorHAnsi"/>
          <w:lang w:val="en-US"/>
        </w:rPr>
        <w:t xml:space="preserve"> 45</w:t>
      </w:r>
      <w:r w:rsidR="000E37B6" w:rsidRPr="00C47083">
        <w:rPr>
          <w:rFonts w:cstheme="minorHAnsi"/>
          <w:lang w:val="en-US"/>
        </w:rPr>
        <w:t>.</w:t>
      </w:r>
    </w:p>
  </w:footnote>
  <w:footnote w:id="11">
    <w:p w14:paraId="3E011E06" w14:textId="3FFC56BD" w:rsidR="001F58F2" w:rsidRPr="00C47083" w:rsidRDefault="001F58F2">
      <w:pPr>
        <w:pStyle w:val="FootnoteText"/>
        <w:rPr>
          <w:rFonts w:cstheme="minorHAnsi"/>
          <w:lang w:val="en-US"/>
        </w:rPr>
      </w:pPr>
      <w:r w:rsidRPr="00C47083">
        <w:rPr>
          <w:rStyle w:val="FootnoteReference"/>
          <w:rFonts w:cstheme="minorHAnsi"/>
        </w:rPr>
        <w:footnoteRef/>
      </w:r>
      <w:r w:rsidRPr="00C47083">
        <w:rPr>
          <w:rFonts w:cstheme="minorHAnsi"/>
        </w:rPr>
        <w:t xml:space="preserve"> </w:t>
      </w:r>
      <w:r w:rsidR="003E3480" w:rsidRPr="00C47083">
        <w:rPr>
          <w:rFonts w:cstheme="minorHAnsi"/>
        </w:rPr>
        <w:t>Goodwin v. The United Kingdom</w:t>
      </w:r>
      <w:r w:rsidRPr="00C47083">
        <w:rPr>
          <w:rFonts w:cstheme="minorHAnsi"/>
          <w:lang w:val="en-US"/>
        </w:rPr>
        <w:t xml:space="preserve">, [GC], no. 17488/90, </w:t>
      </w:r>
      <w:r w:rsidR="000E37B6" w:rsidRPr="00C47083">
        <w:rPr>
          <w:rFonts w:cstheme="minorHAnsi"/>
          <w:lang w:val="en-US"/>
        </w:rPr>
        <w:t xml:space="preserve">¶ </w:t>
      </w:r>
      <w:r w:rsidRPr="00C47083">
        <w:rPr>
          <w:rFonts w:cstheme="minorHAnsi"/>
          <w:lang w:val="en-US"/>
        </w:rPr>
        <w:t>39, Marc</w:t>
      </w:r>
      <w:r w:rsidR="003E3480" w:rsidRPr="00C47083">
        <w:rPr>
          <w:rFonts w:cstheme="minorHAnsi"/>
          <w:lang w:val="en-US"/>
        </w:rPr>
        <w:t>h</w:t>
      </w:r>
      <w:r w:rsidRPr="00C47083">
        <w:rPr>
          <w:rFonts w:cstheme="minorHAnsi"/>
          <w:lang w:val="en-US"/>
        </w:rPr>
        <w:t xml:space="preserve"> </w:t>
      </w:r>
      <w:r w:rsidR="0059789F" w:rsidRPr="00C47083">
        <w:rPr>
          <w:rFonts w:cstheme="minorHAnsi"/>
          <w:lang w:val="en-US"/>
        </w:rPr>
        <w:t xml:space="preserve">27, </w:t>
      </w:r>
      <w:r w:rsidRPr="00C47083">
        <w:rPr>
          <w:rFonts w:cstheme="minorHAnsi"/>
          <w:lang w:val="en-US"/>
        </w:rPr>
        <w:t>1996</w:t>
      </w:r>
      <w:r w:rsidR="000E37B6" w:rsidRPr="00C47083">
        <w:rPr>
          <w:rFonts w:cstheme="minorHAnsi"/>
          <w:lang w:val="en-US"/>
        </w:rPr>
        <w:t>.</w:t>
      </w:r>
    </w:p>
  </w:footnote>
  <w:footnote w:id="12">
    <w:p w14:paraId="4F50BCA3" w14:textId="60034A83" w:rsidR="001F58F2" w:rsidRPr="00C47083" w:rsidRDefault="001F58F2">
      <w:pPr>
        <w:pStyle w:val="FootnoteText"/>
        <w:rPr>
          <w:rFonts w:cstheme="minorHAnsi"/>
          <w:lang w:val="en-US"/>
        </w:rPr>
      </w:pPr>
      <w:r w:rsidRPr="00C47083">
        <w:rPr>
          <w:rStyle w:val="FootnoteReference"/>
          <w:rFonts w:cstheme="minorHAnsi"/>
        </w:rPr>
        <w:footnoteRef/>
      </w:r>
      <w:r w:rsidRPr="00C47083">
        <w:rPr>
          <w:rFonts w:cstheme="minorHAnsi"/>
        </w:rPr>
        <w:t xml:space="preserve"> </w:t>
      </w:r>
      <w:r w:rsidRPr="00C47083">
        <w:rPr>
          <w:rFonts w:cstheme="minorHAnsi"/>
        </w:rPr>
        <w:t>African Commission on Human and Peoples’ Rights, ACHPR /Res.62(XXXII)02 (2002)</w:t>
      </w:r>
      <w:r w:rsidR="000E37B6" w:rsidRPr="00C47083">
        <w:rPr>
          <w:rFonts w:cstheme="minorHAnsi"/>
        </w:rPr>
        <w:t xml:space="preserve">. </w:t>
      </w:r>
    </w:p>
  </w:footnote>
  <w:footnote w:id="13">
    <w:p w14:paraId="27492F5E" w14:textId="594D64B0" w:rsidR="001F58F2" w:rsidRPr="00C47083" w:rsidRDefault="001F58F2" w:rsidP="000E37B6">
      <w:pPr>
        <w:pStyle w:val="FootnoteText"/>
        <w:rPr>
          <w:rFonts w:cstheme="minorHAnsi"/>
          <w:lang w:val="en-US"/>
        </w:rPr>
      </w:pPr>
      <w:r w:rsidRPr="00C47083">
        <w:rPr>
          <w:rStyle w:val="FootnoteReference"/>
          <w:rFonts w:cstheme="minorHAnsi"/>
        </w:rPr>
        <w:footnoteRef/>
      </w:r>
      <w:r w:rsidRPr="00C47083">
        <w:rPr>
          <w:rFonts w:cstheme="minorHAnsi"/>
        </w:rPr>
        <w:t xml:space="preserve"> </w:t>
      </w:r>
      <w:r w:rsidR="000E37B6" w:rsidRPr="00C47083">
        <w:rPr>
          <w:rFonts w:cstheme="minorHAnsi"/>
        </w:rPr>
        <w:t xml:space="preserve">Declaration of Principles on Freedom of Expression, pt 8. </w:t>
      </w:r>
      <w:r w:rsidR="007B3BB5">
        <w:fldChar w:fldCharType="begin"/>
      </w:r>
      <w:r w:rsidR="007B3BB5">
        <w:instrText>HYPERLINK "https://www.oas.org/en/iachr/expression/showarticle.asp?artID=26"</w:instrText>
      </w:r>
      <w:r w:rsidR="007B3BB5">
        <w:fldChar w:fldCharType="separate"/>
      </w:r>
      <w:r w:rsidR="000E37B6" w:rsidRPr="00C47083">
        <w:rPr>
          <w:rStyle w:val="Hyperlink"/>
          <w:rFonts w:cstheme="minorHAnsi"/>
        </w:rPr>
        <w:t>https://www.oas.org/en/iachr/expression/showarticle.asp?artID=26</w:t>
      </w:r>
      <w:r w:rsidR="007B3BB5">
        <w:rPr>
          <w:rStyle w:val="Hyperlink"/>
          <w:rFonts w:cstheme="minorHAnsi"/>
        </w:rPr>
        <w:fldChar w:fldCharType="end"/>
      </w:r>
      <w:r w:rsidR="000E37B6" w:rsidRPr="00C47083">
        <w:rPr>
          <w:rFonts w:cstheme="minorHAnsi"/>
        </w:rPr>
        <w:t>.</w:t>
      </w:r>
    </w:p>
  </w:footnote>
  <w:footnote w:id="14">
    <w:p w14:paraId="0509E6EC" w14:textId="7714B14C" w:rsidR="007864D3" w:rsidRPr="00C47083" w:rsidRDefault="007864D3">
      <w:pPr>
        <w:pStyle w:val="FootnoteText"/>
        <w:rPr>
          <w:rFonts w:cstheme="minorHAnsi"/>
          <w:lang w:val="en-US"/>
        </w:rPr>
      </w:pPr>
      <w:r w:rsidRPr="00C47083">
        <w:rPr>
          <w:rStyle w:val="FootnoteReference"/>
          <w:rFonts w:cstheme="minorHAnsi"/>
        </w:rPr>
        <w:footnoteRef/>
      </w:r>
      <w:r w:rsidRPr="00C47083">
        <w:rPr>
          <w:rFonts w:cstheme="minorHAnsi"/>
        </w:rPr>
        <w:t xml:space="preserve"> </w:t>
      </w:r>
      <w:r w:rsidRPr="00C47083">
        <w:rPr>
          <w:rFonts w:cstheme="minorHAnsi"/>
        </w:rPr>
        <w:t>NAACP, 357 U.S. at 462.</w:t>
      </w:r>
    </w:p>
  </w:footnote>
  <w:footnote w:id="15">
    <w:p w14:paraId="56A11775" w14:textId="20E63330" w:rsidR="00EF47E8" w:rsidRPr="00C47083" w:rsidRDefault="00EF47E8">
      <w:pPr>
        <w:pStyle w:val="FootnoteText"/>
        <w:rPr>
          <w:rFonts w:cstheme="minorHAnsi"/>
          <w:lang w:val="en-US"/>
        </w:rPr>
      </w:pPr>
      <w:r w:rsidRPr="00C47083">
        <w:rPr>
          <w:rStyle w:val="FootnoteReference"/>
          <w:rFonts w:cstheme="minorHAnsi"/>
        </w:rPr>
        <w:footnoteRef/>
      </w:r>
      <w:r w:rsidRPr="00C47083">
        <w:rPr>
          <w:rFonts w:cstheme="minorHAnsi"/>
        </w:rPr>
        <w:t xml:space="preserve"> </w:t>
      </w:r>
      <w:r w:rsidRPr="00C47083">
        <w:rPr>
          <w:rFonts w:cstheme="minorHAnsi"/>
          <w:lang w:val="en-US"/>
        </w:rPr>
        <w:t xml:space="preserve">Id. </w:t>
      </w:r>
      <w:r w:rsidR="000E37B6" w:rsidRPr="00C47083">
        <w:rPr>
          <w:rFonts w:cstheme="minorHAnsi"/>
          <w:lang w:val="en-US"/>
        </w:rPr>
        <w:t>at pg.</w:t>
      </w:r>
      <w:r w:rsidRPr="00C47083">
        <w:rPr>
          <w:rFonts w:cstheme="minorHAnsi"/>
          <w:lang w:val="en-US"/>
        </w:rPr>
        <w:t xml:space="preserve"> 451</w:t>
      </w:r>
      <w:r w:rsidR="000E37B6" w:rsidRPr="00C47083">
        <w:rPr>
          <w:rFonts w:cstheme="minorHAnsi"/>
          <w:lang w:val="en-US"/>
        </w:rPr>
        <w:t xml:space="preserve">. </w:t>
      </w:r>
      <w:r w:rsidRPr="00C47083">
        <w:rPr>
          <w:rFonts w:cstheme="minorHAnsi"/>
          <w:lang w:val="en-US"/>
        </w:rPr>
        <w:t xml:space="preserve"> </w:t>
      </w:r>
    </w:p>
  </w:footnote>
  <w:footnote w:id="16">
    <w:p w14:paraId="16B59913" w14:textId="3FF4FA8E" w:rsidR="00A3461F" w:rsidRPr="00C47083" w:rsidRDefault="00A3461F">
      <w:pPr>
        <w:pStyle w:val="FootnoteText"/>
        <w:rPr>
          <w:rFonts w:cstheme="minorHAnsi"/>
          <w:lang w:val="en-US"/>
        </w:rPr>
      </w:pPr>
      <w:r w:rsidRPr="00C47083">
        <w:rPr>
          <w:rStyle w:val="FootnoteReference"/>
          <w:rFonts w:cstheme="minorHAnsi"/>
        </w:rPr>
        <w:footnoteRef/>
      </w:r>
      <w:r w:rsidRPr="00C47083">
        <w:rPr>
          <w:rFonts w:cstheme="minorHAnsi"/>
        </w:rPr>
        <w:t xml:space="preserve"> </w:t>
      </w:r>
      <w:r w:rsidRPr="00C47083">
        <w:rPr>
          <w:rFonts w:cstheme="minorHAnsi"/>
          <w:lang w:val="en-US"/>
        </w:rPr>
        <w:t xml:space="preserve">Id. at </w:t>
      </w:r>
      <w:r w:rsidR="000E37B6" w:rsidRPr="00C47083">
        <w:rPr>
          <w:rFonts w:cstheme="minorHAnsi"/>
          <w:lang w:val="en-US"/>
        </w:rPr>
        <w:t xml:space="preserve">pg. </w:t>
      </w:r>
      <w:r w:rsidRPr="00C47083">
        <w:rPr>
          <w:rFonts w:cstheme="minorHAnsi"/>
          <w:lang w:val="en-US"/>
        </w:rPr>
        <w:t>462</w:t>
      </w:r>
      <w:r w:rsidR="000E37B6" w:rsidRPr="00C47083">
        <w:rPr>
          <w:rFonts w:cstheme="minorHAnsi"/>
          <w:lang w:val="en-US"/>
        </w:rPr>
        <w:t xml:space="preserve">.  </w:t>
      </w:r>
      <w:r w:rsidRPr="00C47083">
        <w:rPr>
          <w:rFonts w:cstheme="minorHAnsi"/>
          <w:lang w:val="en-US"/>
        </w:rPr>
        <w:t xml:space="preserve"> </w:t>
      </w:r>
    </w:p>
  </w:footnote>
  <w:footnote w:id="17">
    <w:p w14:paraId="1606ED32" w14:textId="28D68D30" w:rsidR="007D3F38" w:rsidRPr="00C47083" w:rsidRDefault="007D3F38">
      <w:pPr>
        <w:pStyle w:val="FootnoteText"/>
        <w:rPr>
          <w:rFonts w:cstheme="minorHAnsi"/>
          <w:lang w:val="en-US"/>
        </w:rPr>
      </w:pPr>
      <w:r w:rsidRPr="00C47083">
        <w:rPr>
          <w:rStyle w:val="FootnoteReference"/>
          <w:rFonts w:cstheme="minorHAnsi"/>
        </w:rPr>
        <w:footnoteRef/>
      </w:r>
      <w:r w:rsidRPr="00C47083">
        <w:rPr>
          <w:rFonts w:cstheme="minorHAnsi"/>
        </w:rPr>
        <w:t xml:space="preserve"> </w:t>
      </w:r>
      <w:r w:rsidRPr="00C47083">
        <w:rPr>
          <w:rFonts w:cstheme="minorHAnsi"/>
        </w:rPr>
        <w:t>Talley v. California, 362 U.S. 60 (1960)</w:t>
      </w:r>
      <w:r w:rsidR="000E37B6" w:rsidRPr="00C47083">
        <w:rPr>
          <w:rFonts w:cstheme="minorHAnsi"/>
        </w:rPr>
        <w:t xml:space="preserve">. </w:t>
      </w:r>
    </w:p>
  </w:footnote>
  <w:footnote w:id="18">
    <w:p w14:paraId="2F60F24B" w14:textId="13E2B13A" w:rsidR="007D3F38" w:rsidRPr="00C47083" w:rsidRDefault="007D3F38">
      <w:pPr>
        <w:pStyle w:val="FootnoteText"/>
        <w:rPr>
          <w:rFonts w:cstheme="minorHAnsi"/>
          <w:lang w:val="en-US"/>
        </w:rPr>
      </w:pPr>
      <w:r w:rsidRPr="00C47083">
        <w:rPr>
          <w:rStyle w:val="FootnoteReference"/>
          <w:rFonts w:cstheme="minorHAnsi"/>
        </w:rPr>
        <w:footnoteRef/>
      </w:r>
      <w:r w:rsidRPr="00C47083">
        <w:rPr>
          <w:rFonts w:cstheme="minorHAnsi"/>
        </w:rPr>
        <w:t xml:space="preserve"> </w:t>
      </w:r>
      <w:r w:rsidRPr="00C47083">
        <w:rPr>
          <w:rFonts w:cstheme="minorHAnsi"/>
        </w:rPr>
        <w:t>McIntyre v Ohio Elections Commission, 514 U.S. 334 (1995)</w:t>
      </w:r>
      <w:r w:rsidR="000E37B6" w:rsidRPr="00C47083">
        <w:rPr>
          <w:rFonts w:cstheme="minorHAnsi"/>
        </w:rPr>
        <w:t xml:space="preserve">. </w:t>
      </w:r>
    </w:p>
  </w:footnote>
  <w:footnote w:id="19">
    <w:p w14:paraId="5E279FD8" w14:textId="785EB968" w:rsidR="00823C6E" w:rsidRPr="00C47083" w:rsidRDefault="00823C6E">
      <w:pPr>
        <w:pStyle w:val="FootnoteText"/>
        <w:rPr>
          <w:rFonts w:cstheme="minorHAnsi"/>
          <w:lang w:val="en-US"/>
        </w:rPr>
      </w:pPr>
      <w:r w:rsidRPr="00C47083">
        <w:rPr>
          <w:rStyle w:val="FootnoteReference"/>
          <w:rFonts w:cstheme="minorHAnsi"/>
        </w:rPr>
        <w:footnoteRef/>
      </w:r>
      <w:r w:rsidRPr="00C47083">
        <w:rPr>
          <w:rFonts w:cstheme="minorHAnsi"/>
        </w:rPr>
        <w:t xml:space="preserve"> </w:t>
      </w:r>
      <w:r w:rsidRPr="00C47083">
        <w:rPr>
          <w:rFonts w:cstheme="minorHAnsi"/>
        </w:rPr>
        <w:t xml:space="preserve">United States v </w:t>
      </w:r>
      <w:proofErr w:type="spellStart"/>
      <w:r w:rsidRPr="00C47083">
        <w:rPr>
          <w:rFonts w:cstheme="minorHAnsi"/>
        </w:rPr>
        <w:t>Rumely</w:t>
      </w:r>
      <w:proofErr w:type="spellEnd"/>
      <w:r w:rsidRPr="00C47083">
        <w:rPr>
          <w:rFonts w:cstheme="minorHAnsi"/>
        </w:rPr>
        <w:t>, 345 US 41, 57</w:t>
      </w:r>
      <w:r w:rsidR="000E37B6" w:rsidRPr="00C47083">
        <w:rPr>
          <w:rFonts w:cstheme="minorHAnsi"/>
        </w:rPr>
        <w:t>.</w:t>
      </w:r>
    </w:p>
  </w:footnote>
  <w:footnote w:id="20">
    <w:p w14:paraId="54AF9362" w14:textId="343CF094" w:rsidR="00710000" w:rsidRPr="00C47083" w:rsidRDefault="00710000">
      <w:pPr>
        <w:pStyle w:val="FootnoteText"/>
        <w:rPr>
          <w:rFonts w:cstheme="minorHAnsi"/>
          <w:lang w:val="en-US"/>
        </w:rPr>
      </w:pPr>
      <w:r w:rsidRPr="00C47083">
        <w:rPr>
          <w:rStyle w:val="FootnoteReference"/>
          <w:rFonts w:cstheme="minorHAnsi"/>
        </w:rPr>
        <w:footnoteRef/>
      </w:r>
      <w:r w:rsidRPr="00C47083">
        <w:rPr>
          <w:rFonts w:cstheme="minorHAnsi"/>
        </w:rPr>
        <w:t xml:space="preserve"> </w:t>
      </w:r>
      <w:r w:rsidR="000E37B6" w:rsidRPr="00C47083">
        <w:rPr>
          <w:rFonts w:cstheme="minorHAnsi"/>
        </w:rPr>
        <w:t xml:space="preserve">Article 19, </w:t>
      </w:r>
      <w:r w:rsidRPr="00C47083">
        <w:rPr>
          <w:rFonts w:cstheme="minorHAnsi"/>
          <w:lang w:val="en-US"/>
        </w:rPr>
        <w:t xml:space="preserve">Response to UN Special Rapporteur’s Call for Comments on Encryption and Anonymity Online, Feb 2015, </w:t>
      </w:r>
      <w:r w:rsidR="000E37B6" w:rsidRPr="00C47083">
        <w:rPr>
          <w:rFonts w:cstheme="minorHAnsi"/>
          <w:lang w:val="en-US"/>
        </w:rPr>
        <w:t>pg.</w:t>
      </w:r>
      <w:r w:rsidRPr="00C47083">
        <w:rPr>
          <w:rFonts w:cstheme="minorHAnsi"/>
          <w:lang w:val="en-US"/>
        </w:rPr>
        <w:t xml:space="preserve"> 6. </w:t>
      </w:r>
    </w:p>
  </w:footnote>
  <w:footnote w:id="21">
    <w:p w14:paraId="17D1E22D" w14:textId="39A651BE" w:rsidR="003035AF" w:rsidRPr="00C47083" w:rsidRDefault="003035AF">
      <w:pPr>
        <w:pStyle w:val="FootnoteText"/>
        <w:rPr>
          <w:rFonts w:cstheme="minorHAnsi"/>
          <w:lang w:val="en-US"/>
        </w:rPr>
      </w:pPr>
      <w:r w:rsidRPr="00C47083">
        <w:rPr>
          <w:rStyle w:val="FootnoteReference"/>
          <w:rFonts w:cstheme="minorHAnsi"/>
        </w:rPr>
        <w:footnoteRef/>
      </w:r>
      <w:r w:rsidRPr="00C47083">
        <w:rPr>
          <w:rFonts w:cstheme="minorHAnsi"/>
        </w:rPr>
        <w:t xml:space="preserve"> </w:t>
      </w:r>
      <w:r w:rsidRPr="00C47083">
        <w:rPr>
          <w:rFonts w:cstheme="minorHAnsi"/>
          <w:lang w:val="en-US"/>
        </w:rPr>
        <w:t>David Kaye</w:t>
      </w:r>
      <w:r w:rsidR="000E37B6" w:rsidRPr="00C47083">
        <w:rPr>
          <w:rFonts w:cstheme="minorHAnsi"/>
          <w:lang w:val="en-US"/>
        </w:rPr>
        <w:t xml:space="preserve">, supra note ¶ </w:t>
      </w:r>
      <w:proofErr w:type="gramStart"/>
      <w:r w:rsidR="000E37B6" w:rsidRPr="00C47083">
        <w:rPr>
          <w:rFonts w:cstheme="minorHAnsi"/>
          <w:lang w:val="en-US"/>
        </w:rPr>
        <w:t>47</w:t>
      </w:r>
      <w:proofErr w:type="gramEnd"/>
    </w:p>
  </w:footnote>
  <w:footnote w:id="22">
    <w:p w14:paraId="1841A3E6" w14:textId="2E8F88C9" w:rsidR="00630300" w:rsidRPr="00C47083" w:rsidRDefault="00630300" w:rsidP="00630300">
      <w:pPr>
        <w:pStyle w:val="FootnoteText"/>
        <w:rPr>
          <w:rFonts w:cstheme="minorHAnsi"/>
        </w:rPr>
      </w:pPr>
      <w:r w:rsidRPr="00C47083">
        <w:rPr>
          <w:rStyle w:val="FootnoteReference"/>
          <w:rFonts w:cstheme="minorHAnsi"/>
        </w:rPr>
        <w:footnoteRef/>
      </w:r>
      <w:r w:rsidR="00C96FF5" w:rsidRPr="00C47083">
        <w:rPr>
          <w:rFonts w:cstheme="minorHAnsi"/>
        </w:rPr>
        <w:t>Inter-American Commission on Human Rights. Office of the Special Rapporteur for Freedom of Expression.</w:t>
      </w:r>
      <w:r w:rsidRPr="00C47083">
        <w:rPr>
          <w:rFonts w:cstheme="minorHAnsi"/>
        </w:rPr>
        <w:t>,</w:t>
      </w:r>
      <w:r w:rsidR="00C96FF5" w:rsidRPr="00C47083">
        <w:rPr>
          <w:rFonts w:cstheme="minorHAnsi"/>
        </w:rPr>
        <w:t xml:space="preserve"> Standards for a free, open and inclusive internet. ISBN 978-0-08270-6637-3 (by Edison Lanza) (March 15, 2017) </w:t>
      </w:r>
      <w:r w:rsidRPr="00C47083">
        <w:rPr>
          <w:rFonts w:cstheme="minorHAnsi"/>
        </w:rPr>
        <w:t xml:space="preserve"> </w:t>
      </w:r>
      <w:r w:rsidR="00C96FF5" w:rsidRPr="00C47083">
        <w:rPr>
          <w:rFonts w:cstheme="minorHAnsi"/>
        </w:rPr>
        <w:t>¶</w:t>
      </w:r>
      <w:r w:rsidRPr="00C47083">
        <w:rPr>
          <w:rFonts w:cstheme="minorHAnsi"/>
        </w:rPr>
        <w:t xml:space="preserve"> 228. </w:t>
      </w:r>
    </w:p>
  </w:footnote>
  <w:footnote w:id="23">
    <w:p w14:paraId="412CE7C8" w14:textId="77777777" w:rsidR="00BB576D" w:rsidRPr="00C47083" w:rsidRDefault="00BB576D" w:rsidP="00BB576D">
      <w:pPr>
        <w:pStyle w:val="FootnoteText"/>
        <w:rPr>
          <w:rFonts w:cstheme="minorHAnsi"/>
        </w:rPr>
      </w:pPr>
      <w:r w:rsidRPr="00C47083">
        <w:rPr>
          <w:rStyle w:val="FootnoteReference"/>
          <w:rFonts w:cstheme="minorHAnsi"/>
        </w:rPr>
        <w:footnoteRef/>
      </w:r>
      <w:r w:rsidRPr="00C47083">
        <w:rPr>
          <w:rFonts w:cstheme="minorHAnsi"/>
        </w:rPr>
        <w:t xml:space="preserve"> </w:t>
      </w:r>
      <w:r w:rsidRPr="00C47083">
        <w:rPr>
          <w:rFonts w:cstheme="minorHAnsi"/>
        </w:rPr>
        <w:t>Declaration on freedom of communication on the Internet (Adopted by the Committee of Ministers</w:t>
      </w:r>
    </w:p>
    <w:p w14:paraId="38428BCC" w14:textId="7F6C1B9D" w:rsidR="00BB576D" w:rsidRPr="00C47083" w:rsidRDefault="00BB576D" w:rsidP="00BB576D">
      <w:pPr>
        <w:pStyle w:val="FootnoteText"/>
        <w:rPr>
          <w:rFonts w:cstheme="minorHAnsi"/>
          <w:lang w:val="en-US"/>
        </w:rPr>
      </w:pPr>
      <w:r w:rsidRPr="00C47083">
        <w:rPr>
          <w:rFonts w:cstheme="minorHAnsi"/>
        </w:rPr>
        <w:t>on 28 May 2003 at the 840th meeting of the Ministers’ Deputies), Principle 7</w:t>
      </w:r>
      <w:r w:rsidR="00C96FF5" w:rsidRPr="00C47083">
        <w:rPr>
          <w:rFonts w:cstheme="minorHAnsi"/>
        </w:rPr>
        <w:t xml:space="preserve">, </w:t>
      </w:r>
      <w:hyperlink r:id="rId2" w:history="1">
        <w:r w:rsidR="00C96FF5" w:rsidRPr="00C47083">
          <w:rPr>
            <w:rStyle w:val="Hyperlink"/>
            <w:rFonts w:cstheme="minorHAnsi"/>
          </w:rPr>
          <w:t>https://rm.coe.int/16805dfbd5</w:t>
        </w:r>
      </w:hyperlink>
      <w:r w:rsidR="00C96FF5" w:rsidRPr="00C47083">
        <w:rPr>
          <w:rFonts w:cstheme="minorHAnsi"/>
        </w:rPr>
        <w:t xml:space="preserve">. </w:t>
      </w:r>
    </w:p>
  </w:footnote>
  <w:footnote w:id="24">
    <w:p w14:paraId="229FC336" w14:textId="772620A9" w:rsidR="00696E47" w:rsidRPr="00C47083" w:rsidRDefault="00696E47">
      <w:pPr>
        <w:pStyle w:val="FootnoteText"/>
        <w:rPr>
          <w:rFonts w:cstheme="minorHAnsi"/>
          <w:lang w:val="en-US"/>
        </w:rPr>
      </w:pPr>
      <w:r w:rsidRPr="00C47083">
        <w:rPr>
          <w:rStyle w:val="FootnoteReference"/>
          <w:rFonts w:cstheme="minorHAnsi"/>
        </w:rPr>
        <w:footnoteRef/>
      </w:r>
      <w:r w:rsidRPr="00C47083">
        <w:rPr>
          <w:rFonts w:cstheme="minorHAnsi"/>
        </w:rPr>
        <w:t xml:space="preserve"> </w:t>
      </w:r>
      <w:r w:rsidR="00C96FF5" w:rsidRPr="00C47083">
        <w:rPr>
          <w:rFonts w:cstheme="minorHAnsi"/>
        </w:rPr>
        <w:t xml:space="preserve">K.U. v. Finland [GC] </w:t>
      </w:r>
      <w:r w:rsidRPr="00C47083">
        <w:rPr>
          <w:rFonts w:cstheme="minorHAnsi"/>
        </w:rPr>
        <w:t xml:space="preserve">App no. 2872/02, </w:t>
      </w:r>
      <w:r w:rsidR="0059789F" w:rsidRPr="00C47083">
        <w:rPr>
          <w:rFonts w:cstheme="minorHAnsi"/>
        </w:rPr>
        <w:t>¶</w:t>
      </w:r>
      <w:r w:rsidRPr="00C47083">
        <w:rPr>
          <w:rFonts w:cstheme="minorHAnsi"/>
        </w:rPr>
        <w:t xml:space="preserve"> 7-9, </w:t>
      </w:r>
      <w:r w:rsidR="0059789F" w:rsidRPr="00C47083">
        <w:rPr>
          <w:rFonts w:cstheme="minorHAnsi"/>
        </w:rPr>
        <w:t>December 2,</w:t>
      </w:r>
      <w:r w:rsidRPr="00C47083">
        <w:rPr>
          <w:rFonts w:cstheme="minorHAnsi"/>
        </w:rPr>
        <w:t xml:space="preserve"> 2008. </w:t>
      </w:r>
    </w:p>
  </w:footnote>
  <w:footnote w:id="25">
    <w:p w14:paraId="14A050AA" w14:textId="36B99500" w:rsidR="004A068F" w:rsidRPr="00C47083" w:rsidRDefault="004A068F">
      <w:pPr>
        <w:pStyle w:val="FootnoteText"/>
        <w:rPr>
          <w:rFonts w:cstheme="minorHAnsi"/>
          <w:lang w:val="en-US"/>
        </w:rPr>
      </w:pPr>
      <w:r w:rsidRPr="00C47083">
        <w:rPr>
          <w:rStyle w:val="FootnoteReference"/>
          <w:rFonts w:cstheme="minorHAnsi"/>
        </w:rPr>
        <w:footnoteRef/>
      </w:r>
      <w:r w:rsidRPr="00C47083">
        <w:rPr>
          <w:rFonts w:cstheme="minorHAnsi"/>
        </w:rPr>
        <w:t xml:space="preserve"> </w:t>
      </w:r>
      <w:r w:rsidRPr="00C47083">
        <w:rPr>
          <w:rFonts w:cstheme="minorHAnsi"/>
        </w:rPr>
        <w:t xml:space="preserve">Id. </w:t>
      </w:r>
      <w:r w:rsidR="00C96FF5" w:rsidRPr="00C47083">
        <w:rPr>
          <w:rFonts w:cstheme="minorHAnsi"/>
        </w:rPr>
        <w:t>¶</w:t>
      </w:r>
      <w:r w:rsidRPr="00C47083">
        <w:rPr>
          <w:rFonts w:cstheme="minorHAnsi"/>
        </w:rPr>
        <w:t xml:space="preserve"> 49.</w:t>
      </w:r>
    </w:p>
  </w:footnote>
  <w:footnote w:id="26">
    <w:p w14:paraId="7387DD6F" w14:textId="1DC2945C" w:rsidR="00B66D22" w:rsidRPr="00C47083" w:rsidRDefault="00B66D22">
      <w:pPr>
        <w:pStyle w:val="FootnoteText"/>
        <w:rPr>
          <w:rFonts w:cstheme="minorHAnsi"/>
          <w:lang w:val="en-US"/>
        </w:rPr>
      </w:pPr>
      <w:r w:rsidRPr="00C47083">
        <w:rPr>
          <w:rStyle w:val="FootnoteReference"/>
          <w:rFonts w:cstheme="minorHAnsi"/>
        </w:rPr>
        <w:footnoteRef/>
      </w:r>
      <w:r w:rsidRPr="00C47083">
        <w:rPr>
          <w:rFonts w:cstheme="minorHAnsi"/>
        </w:rPr>
        <w:t xml:space="preserve"> </w:t>
      </w:r>
      <w:r w:rsidRPr="00C47083">
        <w:rPr>
          <w:rFonts w:cstheme="minorHAnsi"/>
        </w:rPr>
        <w:t>Delfi v Estonia</w:t>
      </w:r>
      <w:r w:rsidR="0059789F" w:rsidRPr="00C47083">
        <w:rPr>
          <w:rFonts w:cstheme="minorHAnsi"/>
        </w:rPr>
        <w:t xml:space="preserve"> [GC]</w:t>
      </w:r>
      <w:r w:rsidRPr="00C47083">
        <w:rPr>
          <w:rFonts w:cstheme="minorHAnsi"/>
        </w:rPr>
        <w:t xml:space="preserve"> no.64569/09, </w:t>
      </w:r>
      <w:r w:rsidR="0059789F" w:rsidRPr="00C47083">
        <w:rPr>
          <w:rFonts w:cstheme="minorHAnsi"/>
        </w:rPr>
        <w:t xml:space="preserve">¶ 149, </w:t>
      </w:r>
      <w:r w:rsidRPr="00C47083">
        <w:rPr>
          <w:rFonts w:cstheme="minorHAnsi"/>
        </w:rPr>
        <w:t xml:space="preserve">October </w:t>
      </w:r>
      <w:r w:rsidR="0059789F" w:rsidRPr="00C47083">
        <w:rPr>
          <w:rFonts w:cstheme="minorHAnsi"/>
        </w:rPr>
        <w:t xml:space="preserve">10, </w:t>
      </w:r>
      <w:r w:rsidRPr="00C47083">
        <w:rPr>
          <w:rFonts w:cstheme="minorHAnsi"/>
        </w:rPr>
        <w:t>2013</w:t>
      </w:r>
      <w:r w:rsidRPr="00C47083">
        <w:rPr>
          <w:rFonts w:cstheme="minorHAnsi"/>
          <w:lang w:val="en-US"/>
        </w:rPr>
        <w:t xml:space="preserve">. </w:t>
      </w:r>
    </w:p>
  </w:footnote>
  <w:footnote w:id="27">
    <w:p w14:paraId="58F3FE9E" w14:textId="56CCE05C" w:rsidR="00345610" w:rsidRPr="00C47083" w:rsidRDefault="00345610">
      <w:pPr>
        <w:pStyle w:val="FootnoteText"/>
        <w:rPr>
          <w:rFonts w:cstheme="minorHAnsi"/>
          <w:lang w:val="en-US"/>
        </w:rPr>
      </w:pPr>
      <w:r w:rsidRPr="00C47083">
        <w:rPr>
          <w:rStyle w:val="FootnoteReference"/>
          <w:rFonts w:cstheme="minorHAnsi"/>
        </w:rPr>
        <w:footnoteRef/>
      </w:r>
      <w:r w:rsidRPr="00C47083">
        <w:rPr>
          <w:rFonts w:cstheme="minorHAnsi"/>
        </w:rPr>
        <w:t xml:space="preserve"> </w:t>
      </w:r>
      <w:r w:rsidRPr="00C47083">
        <w:rPr>
          <w:rFonts w:cstheme="minorHAnsi"/>
        </w:rPr>
        <w:t>R. v. Spencer, 2014 SCC 43</w:t>
      </w:r>
      <w:r w:rsidR="0059789F" w:rsidRPr="00C47083">
        <w:rPr>
          <w:rFonts w:cstheme="minorHAnsi"/>
        </w:rPr>
        <w:t xml:space="preserve">. </w:t>
      </w:r>
    </w:p>
  </w:footnote>
  <w:footnote w:id="28">
    <w:p w14:paraId="6AFC238D" w14:textId="7071302A" w:rsidR="009F12C7" w:rsidRPr="00C47083" w:rsidRDefault="009F12C7">
      <w:pPr>
        <w:pStyle w:val="FootnoteText"/>
        <w:rPr>
          <w:rFonts w:cstheme="minorHAnsi"/>
          <w:lang w:val="en-US"/>
        </w:rPr>
      </w:pPr>
      <w:r w:rsidRPr="00C47083">
        <w:rPr>
          <w:rStyle w:val="FootnoteReference"/>
          <w:rFonts w:cstheme="minorHAnsi"/>
        </w:rPr>
        <w:footnoteRef/>
      </w:r>
      <w:r w:rsidRPr="00C47083">
        <w:rPr>
          <w:rFonts w:cstheme="minorHAnsi"/>
        </w:rPr>
        <w:t xml:space="preserve"> </w:t>
      </w:r>
      <w:r w:rsidRPr="00C47083">
        <w:rPr>
          <w:rStyle w:val="fontstyle01"/>
          <w:rFonts w:asciiTheme="minorHAnsi" w:hAnsiTheme="minorHAnsi" w:cstheme="minorHAnsi"/>
          <w:sz w:val="20"/>
          <w:szCs w:val="20"/>
        </w:rPr>
        <w:t>2010 Heon Ma 47, 252</w:t>
      </w:r>
      <w:r w:rsidR="0059789F" w:rsidRPr="00C47083">
        <w:rPr>
          <w:rStyle w:val="fontstyle01"/>
          <w:rFonts w:asciiTheme="minorHAnsi" w:hAnsiTheme="minorHAnsi" w:cstheme="minorHAnsi"/>
          <w:sz w:val="20"/>
          <w:szCs w:val="20"/>
        </w:rPr>
        <w:t xml:space="preserve">. </w:t>
      </w:r>
    </w:p>
  </w:footnote>
  <w:footnote w:id="29">
    <w:p w14:paraId="0C6D5515" w14:textId="0EC03AC3" w:rsidR="00FE4AA1" w:rsidRPr="00C47083" w:rsidRDefault="00FE4AA1">
      <w:pPr>
        <w:pStyle w:val="FootnoteText"/>
        <w:rPr>
          <w:rFonts w:cstheme="minorHAnsi"/>
          <w:lang w:val="en-US"/>
        </w:rPr>
      </w:pPr>
      <w:r w:rsidRPr="00C47083">
        <w:rPr>
          <w:rStyle w:val="FootnoteReference"/>
          <w:rFonts w:cstheme="minorHAnsi"/>
        </w:rPr>
        <w:footnoteRef/>
      </w:r>
      <w:r w:rsidRPr="00C47083">
        <w:rPr>
          <w:rFonts w:cstheme="minorHAnsi"/>
        </w:rPr>
        <w:t xml:space="preserve"> </w:t>
      </w:r>
      <w:r w:rsidRPr="00C47083">
        <w:rPr>
          <w:rFonts w:cstheme="minorHAnsi"/>
          <w:lang w:val="en-US"/>
        </w:rPr>
        <w:t xml:space="preserve">Id. </w:t>
      </w:r>
      <w:r w:rsidR="0059789F" w:rsidRPr="00C47083">
        <w:rPr>
          <w:rFonts w:cstheme="minorHAnsi"/>
          <w:lang w:val="en-US"/>
        </w:rPr>
        <w:t xml:space="preserve">¶ </w:t>
      </w:r>
      <w:r w:rsidRPr="00C47083">
        <w:rPr>
          <w:rFonts w:cstheme="minorHAnsi"/>
          <w:lang w:val="en-US"/>
        </w:rPr>
        <w:t>3(b)</w:t>
      </w:r>
      <w:r w:rsidR="0059789F" w:rsidRPr="00C47083">
        <w:rPr>
          <w:rFonts w:cstheme="minorHAnsi"/>
          <w:lang w:val="en-US"/>
        </w:rPr>
        <w:t xml:space="preserve">. </w:t>
      </w:r>
    </w:p>
  </w:footnote>
  <w:footnote w:id="30">
    <w:p w14:paraId="48ADB1E0" w14:textId="559B8255" w:rsidR="00EB16EA" w:rsidRPr="00C47083" w:rsidRDefault="00EB16EA">
      <w:pPr>
        <w:pStyle w:val="FootnoteText"/>
        <w:rPr>
          <w:rFonts w:cstheme="minorHAnsi"/>
          <w:lang w:val="en-US"/>
        </w:rPr>
      </w:pPr>
      <w:r w:rsidRPr="00C47083">
        <w:rPr>
          <w:rStyle w:val="FootnoteReference"/>
          <w:rFonts w:cstheme="minorHAnsi"/>
        </w:rPr>
        <w:footnoteRef/>
      </w:r>
      <w:r w:rsidRPr="00C47083">
        <w:rPr>
          <w:rFonts w:cstheme="minorHAnsi"/>
        </w:rPr>
        <w:t xml:space="preserve"> </w:t>
      </w:r>
      <w:r w:rsidR="0059789F" w:rsidRPr="00C47083">
        <w:rPr>
          <w:rFonts w:cstheme="minorHAnsi"/>
        </w:rPr>
        <w:t xml:space="preserve">Article 19, </w:t>
      </w:r>
      <w:r w:rsidR="0059789F" w:rsidRPr="00C47083">
        <w:rPr>
          <w:rFonts w:cstheme="minorHAnsi"/>
          <w:lang w:val="en-US"/>
        </w:rPr>
        <w:t xml:space="preserve">Response to UN Special Rapporteur’s Call for Comments on Encryption and Anonymity Online, Feb 2015, pg. 8. </w:t>
      </w:r>
    </w:p>
  </w:footnote>
  <w:footnote w:id="31">
    <w:p w14:paraId="32C73B38" w14:textId="21EDA3B8" w:rsidR="00EB16EA" w:rsidRPr="00C47083" w:rsidRDefault="00EB16EA">
      <w:pPr>
        <w:pStyle w:val="FootnoteText"/>
        <w:rPr>
          <w:rFonts w:cstheme="minorHAnsi"/>
          <w:lang w:val="en-US"/>
        </w:rPr>
      </w:pPr>
      <w:r w:rsidRPr="00C47083">
        <w:rPr>
          <w:rStyle w:val="FootnoteReference"/>
          <w:rFonts w:cstheme="minorHAnsi"/>
        </w:rPr>
        <w:footnoteRef/>
      </w:r>
      <w:r w:rsidR="0059789F" w:rsidRPr="00C47083">
        <w:rPr>
          <w:rFonts w:cstheme="minorHAnsi"/>
        </w:rPr>
        <w:t xml:space="preserve"> </w:t>
      </w:r>
      <w:r w:rsidR="0059789F" w:rsidRPr="00C47083">
        <w:rPr>
          <w:rFonts w:cstheme="minorHAnsi"/>
        </w:rPr>
        <w:t xml:space="preserve">Id. </w:t>
      </w:r>
    </w:p>
  </w:footnote>
  <w:footnote w:id="32">
    <w:p w14:paraId="7EC3606F" w14:textId="50E02028" w:rsidR="001E16ED" w:rsidRPr="00C47083" w:rsidRDefault="001E16ED">
      <w:pPr>
        <w:pStyle w:val="FootnoteText"/>
        <w:rPr>
          <w:rFonts w:cstheme="minorHAnsi"/>
          <w:lang w:val="en-US"/>
        </w:rPr>
      </w:pPr>
      <w:r w:rsidRPr="00C47083">
        <w:rPr>
          <w:rStyle w:val="FootnoteReference"/>
          <w:rFonts w:cstheme="minorHAnsi"/>
        </w:rPr>
        <w:footnoteRef/>
      </w:r>
      <w:r w:rsidR="0059789F" w:rsidRPr="00C47083">
        <w:rPr>
          <w:rFonts w:cstheme="minorHAnsi"/>
        </w:rPr>
        <w:t>Id.</w:t>
      </w:r>
      <w:r w:rsidR="0059789F" w:rsidRPr="00C47083">
        <w:rPr>
          <w:rFonts w:cstheme="minorHAnsi"/>
          <w:lang w:val="en-US"/>
        </w:rPr>
        <w:t xml:space="preserve"> </w:t>
      </w:r>
      <w:r w:rsidRPr="00C47083">
        <w:rPr>
          <w:rFonts w:cstheme="minorHAnsi"/>
        </w:rPr>
        <w:t>p</w:t>
      </w:r>
      <w:r w:rsidR="0059789F" w:rsidRPr="00C47083">
        <w:rPr>
          <w:rFonts w:cstheme="minorHAnsi"/>
        </w:rPr>
        <w:t>g.</w:t>
      </w:r>
      <w:r w:rsidRPr="00C47083">
        <w:rPr>
          <w:rFonts w:cstheme="minorHAnsi"/>
        </w:rPr>
        <w:t xml:space="preserve"> 9</w:t>
      </w:r>
      <w:r w:rsidR="0059789F" w:rsidRPr="00C47083">
        <w:rPr>
          <w:rFonts w:cstheme="minorHAnsi"/>
        </w:rPr>
        <w:t xml:space="preserve">. </w:t>
      </w:r>
      <w:r w:rsidRPr="00C47083">
        <w:rPr>
          <w:rFonts w:cstheme="minorHAnsi"/>
        </w:rPr>
        <w:t xml:space="preserve"> </w:t>
      </w:r>
    </w:p>
  </w:footnote>
  <w:footnote w:id="33">
    <w:p w14:paraId="29B1368C" w14:textId="3689D298" w:rsidR="001E16ED" w:rsidRPr="00C47083" w:rsidRDefault="001E16ED">
      <w:pPr>
        <w:pStyle w:val="FootnoteText"/>
        <w:rPr>
          <w:rFonts w:cstheme="minorHAnsi"/>
          <w:lang w:val="en-US"/>
        </w:rPr>
      </w:pPr>
      <w:r w:rsidRPr="00C47083">
        <w:rPr>
          <w:rStyle w:val="FootnoteReference"/>
          <w:rFonts w:cstheme="minorHAnsi"/>
        </w:rPr>
        <w:footnoteRef/>
      </w:r>
      <w:r w:rsidR="0059789F" w:rsidRPr="00C47083">
        <w:rPr>
          <w:rFonts w:cstheme="minorHAnsi"/>
        </w:rPr>
        <w:t xml:space="preserve">Louise Osborne, German state fights Facebook over alleged privacy violations, The Guardian (January  4, 2013), </w:t>
      </w:r>
      <w:hyperlink r:id="rId3" w:history="1">
        <w:r w:rsidR="0059789F" w:rsidRPr="00C47083">
          <w:rPr>
            <w:rStyle w:val="Hyperlink"/>
            <w:rFonts w:cstheme="minorHAnsi"/>
          </w:rPr>
          <w:t>https://www.theguardian.com/world/2013/jan/04/facebook-germany-data-protection</w:t>
        </w:r>
      </w:hyperlink>
      <w:r w:rsidR="0059789F" w:rsidRPr="00C47083">
        <w:rPr>
          <w:rFonts w:cstheme="minorHAnsi"/>
        </w:rPr>
        <w:t xml:space="preserve">. </w:t>
      </w:r>
    </w:p>
  </w:footnote>
  <w:footnote w:id="34">
    <w:p w14:paraId="1DB48ED7" w14:textId="6668D5A1" w:rsidR="00C80254" w:rsidRPr="00C47083" w:rsidRDefault="00C80254">
      <w:pPr>
        <w:pStyle w:val="FootnoteText"/>
        <w:rPr>
          <w:rFonts w:cstheme="minorHAnsi"/>
          <w:lang w:val="en-US"/>
        </w:rPr>
      </w:pPr>
      <w:r w:rsidRPr="00C47083">
        <w:rPr>
          <w:rStyle w:val="FootnoteReference"/>
          <w:rFonts w:cstheme="minorHAnsi"/>
        </w:rPr>
        <w:footnoteRef/>
      </w:r>
      <w:r w:rsidRPr="00C47083">
        <w:rPr>
          <w:rFonts w:cstheme="minorHAnsi"/>
        </w:rPr>
        <w:t xml:space="preserve"> </w:t>
      </w:r>
      <w:r w:rsidR="00187BCF" w:rsidRPr="00C47083">
        <w:rPr>
          <w:rFonts w:cstheme="minorHAnsi"/>
        </w:rPr>
        <w:t xml:space="preserve">Global Freedom of expression Columbia University, </w:t>
      </w:r>
      <w:r w:rsidR="0059789F" w:rsidRPr="00C47083">
        <w:rPr>
          <w:rFonts w:cstheme="minorHAnsi"/>
        </w:rPr>
        <w:t>Unconstitutionality of the National Registry of Mobile Telephone Users</w:t>
      </w:r>
      <w:r w:rsidR="00187BCF" w:rsidRPr="00C47083">
        <w:rPr>
          <w:rFonts w:cstheme="minorHAnsi"/>
        </w:rPr>
        <w:t>,</w:t>
      </w:r>
      <w:r w:rsidR="0059789F" w:rsidRPr="00C47083">
        <w:rPr>
          <w:rFonts w:cstheme="minorHAnsi"/>
        </w:rPr>
        <w:t xml:space="preserve"> </w:t>
      </w:r>
      <w:hyperlink r:id="rId4" w:history="1">
        <w:r w:rsidR="0059789F" w:rsidRPr="00C47083">
          <w:rPr>
            <w:rStyle w:val="Hyperlink"/>
            <w:rFonts w:cstheme="minorHAnsi"/>
          </w:rPr>
          <w:t>https://globalfreedomofexpression.columbia.edu/cases/unconstitutionality-of-the-national-registry-of-mobile-telephone-users/</w:t>
        </w:r>
      </w:hyperlink>
      <w:r w:rsidR="00187BCF" w:rsidRPr="00C47083">
        <w:rPr>
          <w:rFonts w:cstheme="minorHAnsi"/>
        </w:rPr>
        <w:t xml:space="preserve">. </w:t>
      </w:r>
    </w:p>
  </w:footnote>
  <w:footnote w:id="35">
    <w:p w14:paraId="3FC2AEA3" w14:textId="64B08DBE" w:rsidR="00B15E8E" w:rsidRPr="00C47083" w:rsidRDefault="00B15E8E" w:rsidP="00B15E8E">
      <w:pPr>
        <w:pStyle w:val="FootnoteText"/>
        <w:rPr>
          <w:rFonts w:cstheme="minorHAnsi"/>
          <w:lang w:val="en-US"/>
        </w:rPr>
      </w:pPr>
      <w:r w:rsidRPr="00C47083">
        <w:rPr>
          <w:rStyle w:val="FootnoteReference"/>
          <w:rFonts w:cstheme="minorHAnsi"/>
        </w:rPr>
        <w:footnoteRef/>
      </w:r>
      <w:r w:rsidRPr="00C47083">
        <w:rPr>
          <w:rFonts w:cstheme="minorHAnsi"/>
        </w:rPr>
        <w:t xml:space="preserve"> </w:t>
      </w:r>
      <w:proofErr w:type="spellStart"/>
      <w:r w:rsidR="0059789F" w:rsidRPr="00C47083">
        <w:rPr>
          <w:rFonts w:cstheme="minorHAnsi"/>
        </w:rPr>
        <w:t>Puttaswamy</w:t>
      </w:r>
      <w:proofErr w:type="spellEnd"/>
      <w:r w:rsidR="0059789F" w:rsidRPr="00C47083">
        <w:rPr>
          <w:rFonts w:cstheme="minorHAnsi"/>
        </w:rPr>
        <w:t xml:space="preserve"> v. Union of India, </w:t>
      </w:r>
      <w:r w:rsidRPr="00C47083">
        <w:rPr>
          <w:rFonts w:cstheme="minorHAnsi"/>
        </w:rPr>
        <w:t>(2017) 10 SCC 1</w:t>
      </w:r>
      <w:r w:rsidR="0059789F" w:rsidRPr="00C47083">
        <w:rPr>
          <w:rFonts w:cstheme="minorHAnsi"/>
        </w:rPr>
        <w:t xml:space="preserve">. </w:t>
      </w:r>
    </w:p>
  </w:footnote>
  <w:footnote w:id="36">
    <w:p w14:paraId="2AB287B2" w14:textId="44C5F269" w:rsidR="00B15E8E" w:rsidRPr="00C47083" w:rsidRDefault="00B15E8E" w:rsidP="00B15E8E">
      <w:pPr>
        <w:pStyle w:val="FootnoteText"/>
        <w:rPr>
          <w:rFonts w:cstheme="minorHAnsi"/>
          <w:lang w:val="en-US"/>
        </w:rPr>
      </w:pPr>
      <w:r w:rsidRPr="00C47083">
        <w:rPr>
          <w:rStyle w:val="FootnoteReference"/>
          <w:rFonts w:cstheme="minorHAnsi"/>
        </w:rPr>
        <w:footnoteRef/>
      </w:r>
      <w:r w:rsidR="0059789F" w:rsidRPr="00C47083">
        <w:rPr>
          <w:rFonts w:cstheme="minorHAnsi"/>
        </w:rPr>
        <w:t xml:space="preserve"> </w:t>
      </w:r>
      <w:r w:rsidR="0059789F" w:rsidRPr="00C47083">
        <w:rPr>
          <w:rFonts w:cstheme="minorHAnsi"/>
        </w:rPr>
        <w:t xml:space="preserve">Id. ¶ </w:t>
      </w:r>
      <w:r w:rsidRPr="00C47083">
        <w:rPr>
          <w:rFonts w:cstheme="minorHAnsi"/>
          <w:lang w:val="en-US"/>
        </w:rPr>
        <w:t>182</w:t>
      </w:r>
      <w:r w:rsidR="0059789F" w:rsidRPr="00C47083">
        <w:rPr>
          <w:rFonts w:cstheme="minorHAnsi"/>
          <w:lang w:val="en-US"/>
        </w:rPr>
        <w:t xml:space="preserve">. </w:t>
      </w:r>
    </w:p>
  </w:footnote>
  <w:footnote w:id="37">
    <w:p w14:paraId="1E0C8165" w14:textId="2BF772B7" w:rsidR="00B15E8E" w:rsidRPr="00C47083" w:rsidRDefault="00B15E8E" w:rsidP="00B15E8E">
      <w:pPr>
        <w:pStyle w:val="FootnoteText"/>
        <w:rPr>
          <w:rFonts w:cstheme="minorHAnsi"/>
          <w:lang w:val="en-US"/>
        </w:rPr>
      </w:pPr>
      <w:r w:rsidRPr="00C47083">
        <w:rPr>
          <w:rStyle w:val="FootnoteReference"/>
          <w:rFonts w:cstheme="minorHAnsi"/>
        </w:rPr>
        <w:footnoteRef/>
      </w:r>
      <w:r w:rsidRPr="00C47083">
        <w:rPr>
          <w:rFonts w:cstheme="minorHAnsi"/>
        </w:rPr>
        <w:t xml:space="preserve"> </w:t>
      </w:r>
      <w:r w:rsidRPr="00C47083">
        <w:rPr>
          <w:rFonts w:cstheme="minorHAnsi"/>
          <w:lang w:val="en-US"/>
        </w:rPr>
        <w:t>I</w:t>
      </w:r>
      <w:r w:rsidR="009612B5" w:rsidRPr="00C47083">
        <w:rPr>
          <w:rFonts w:cstheme="minorHAnsi"/>
          <w:lang w:val="en-US"/>
        </w:rPr>
        <w:t xml:space="preserve">d. </w:t>
      </w:r>
    </w:p>
  </w:footnote>
  <w:footnote w:id="38">
    <w:p w14:paraId="2C3B19AB" w14:textId="7C724348" w:rsidR="00B15E8E" w:rsidRPr="00C47083" w:rsidRDefault="00B15E8E" w:rsidP="00B15E8E">
      <w:pPr>
        <w:pStyle w:val="FootnoteText"/>
        <w:rPr>
          <w:rFonts w:cstheme="minorHAnsi"/>
        </w:rPr>
      </w:pPr>
      <w:r w:rsidRPr="00C47083">
        <w:rPr>
          <w:rStyle w:val="FootnoteReference"/>
          <w:rFonts w:cstheme="minorHAnsi"/>
        </w:rPr>
        <w:footnoteRef/>
      </w:r>
      <w:r w:rsidRPr="00C47083">
        <w:rPr>
          <w:rFonts w:cstheme="minorHAnsi"/>
        </w:rPr>
        <w:t xml:space="preserve"> </w:t>
      </w:r>
      <w:r w:rsidRPr="00C47083">
        <w:rPr>
          <w:rFonts w:cstheme="minorHAnsi"/>
        </w:rPr>
        <w:t>Jeffrey M. Skopek, “Reasonable Expectations of Anonymity”, Virginia Law Review</w:t>
      </w:r>
      <w:r w:rsidR="00187BCF" w:rsidRPr="00C47083">
        <w:rPr>
          <w:rFonts w:cstheme="minorHAnsi"/>
        </w:rPr>
        <w:t xml:space="preserve"> </w:t>
      </w:r>
      <w:r w:rsidRPr="00C47083">
        <w:rPr>
          <w:rFonts w:cstheme="minorHAnsi"/>
        </w:rPr>
        <w:t>(2015), Vol.101, at p</w:t>
      </w:r>
      <w:r w:rsidR="00187BCF" w:rsidRPr="00C47083">
        <w:rPr>
          <w:rFonts w:cstheme="minorHAnsi"/>
        </w:rPr>
        <w:t>g.</w:t>
      </w:r>
      <w:r w:rsidRPr="00C47083">
        <w:rPr>
          <w:rFonts w:cstheme="minorHAnsi"/>
        </w:rPr>
        <w:t xml:space="preserve"> 719.</w:t>
      </w:r>
    </w:p>
  </w:footnote>
  <w:footnote w:id="39">
    <w:p w14:paraId="54344636" w14:textId="070C2522" w:rsidR="00BD7D90" w:rsidRPr="00C47083" w:rsidRDefault="00BD7D90">
      <w:pPr>
        <w:pStyle w:val="FootnoteText"/>
        <w:rPr>
          <w:rFonts w:cstheme="minorHAnsi"/>
          <w:lang w:val="en-US"/>
        </w:rPr>
      </w:pPr>
      <w:r w:rsidRPr="00C47083">
        <w:rPr>
          <w:rStyle w:val="FootnoteReference"/>
          <w:rFonts w:cstheme="minorHAnsi"/>
        </w:rPr>
        <w:footnoteRef/>
      </w:r>
      <w:r w:rsidRPr="00C47083">
        <w:rPr>
          <w:rFonts w:cstheme="minorHAnsi"/>
        </w:rPr>
        <w:t xml:space="preserve"> </w:t>
      </w:r>
      <w:r w:rsidRPr="00C47083">
        <w:rPr>
          <w:rFonts w:cstheme="minorHAnsi"/>
          <w:lang w:val="en-US"/>
        </w:rPr>
        <w:t>David Kaye</w:t>
      </w:r>
      <w:r w:rsidR="00187BCF" w:rsidRPr="00C47083">
        <w:rPr>
          <w:rFonts w:cstheme="minorHAnsi"/>
          <w:lang w:val="en-US"/>
        </w:rPr>
        <w:t xml:space="preserve">, supra note ¶ 56. </w:t>
      </w:r>
    </w:p>
  </w:footnote>
  <w:footnote w:id="40">
    <w:p w14:paraId="7FA5B6F7" w14:textId="787AD02C" w:rsidR="00B15E8E" w:rsidRPr="00C47083" w:rsidRDefault="00B15E8E">
      <w:pPr>
        <w:pStyle w:val="FootnoteText"/>
        <w:rPr>
          <w:rFonts w:cstheme="minorHAnsi"/>
          <w:lang w:val="en-US"/>
        </w:rPr>
      </w:pPr>
      <w:r w:rsidRPr="00C47083">
        <w:rPr>
          <w:rStyle w:val="FootnoteReference"/>
          <w:rFonts w:cstheme="minorHAnsi"/>
        </w:rPr>
        <w:footnoteRef/>
      </w:r>
      <w:r w:rsidRPr="00C47083">
        <w:rPr>
          <w:rFonts w:cstheme="minorHAnsi"/>
        </w:rPr>
        <w:t xml:space="preserve"> </w:t>
      </w:r>
      <w:r w:rsidR="009612B5" w:rsidRPr="00C47083">
        <w:rPr>
          <w:rFonts w:cstheme="minorHAnsi"/>
        </w:rPr>
        <w:t xml:space="preserve">David Kaye, </w:t>
      </w:r>
      <w:r w:rsidRPr="00C47083">
        <w:rPr>
          <w:rFonts w:cstheme="minorHAnsi"/>
          <w:lang w:val="en-US"/>
        </w:rPr>
        <w:t xml:space="preserve">Supra note </w:t>
      </w:r>
      <w:r w:rsidR="009612B5" w:rsidRPr="00C47083">
        <w:rPr>
          <w:rFonts w:cstheme="minorHAnsi"/>
          <w:lang w:val="en-US"/>
        </w:rPr>
        <w:t xml:space="preserve">¶ </w:t>
      </w:r>
      <w:r w:rsidRPr="00C47083">
        <w:rPr>
          <w:rFonts w:cstheme="minorHAnsi"/>
          <w:lang w:val="en-US"/>
        </w:rPr>
        <w:t>57</w:t>
      </w:r>
      <w:r w:rsidR="009612B5" w:rsidRPr="00C47083">
        <w:rPr>
          <w:rFonts w:cstheme="minorHAnsi"/>
          <w:lang w:val="en-US"/>
        </w:rPr>
        <w:t xml:space="preserve">. </w:t>
      </w:r>
    </w:p>
  </w:footnote>
  <w:footnote w:id="41">
    <w:p w14:paraId="0F44C9A1" w14:textId="5E812907" w:rsidR="00FC1FC8" w:rsidRPr="00FC1FC8" w:rsidRDefault="00FC1FC8">
      <w:pPr>
        <w:pStyle w:val="FootnoteText"/>
        <w:rPr>
          <w:lang w:val="en-US"/>
        </w:rPr>
      </w:pPr>
      <w:r>
        <w:rPr>
          <w:rStyle w:val="FootnoteReference"/>
        </w:rPr>
        <w:footnoteRef/>
      </w:r>
      <w:r>
        <w:t xml:space="preserve"> </w:t>
      </w:r>
      <w:r w:rsidRPr="00FC1FC8">
        <w:t>UN Human rights committee, General Comment No. 34, ¶</w:t>
      </w:r>
      <w:r w:rsidRPr="00FC1FC8">
        <w:rPr>
          <w:lang w:val="en-US"/>
        </w:rPr>
        <w:t xml:space="preserve"> 45.</w:t>
      </w:r>
    </w:p>
  </w:footnote>
  <w:footnote w:id="42">
    <w:p w14:paraId="01DD2A3C" w14:textId="55179305" w:rsidR="00FC1FC8" w:rsidRPr="00FC1FC8" w:rsidRDefault="00FC1FC8">
      <w:pPr>
        <w:pStyle w:val="FootnoteText"/>
        <w:rPr>
          <w:lang w:val="en-US"/>
        </w:rPr>
      </w:pPr>
      <w:r>
        <w:rPr>
          <w:rStyle w:val="FootnoteReference"/>
        </w:rPr>
        <w:footnoteRef/>
      </w:r>
      <w:r>
        <w:t xml:space="preserve"> </w:t>
      </w:r>
      <w:r w:rsidRPr="00FC1FC8">
        <w:t>Goodwin v. The United Kingdom</w:t>
      </w:r>
      <w:r w:rsidRPr="00FC1FC8">
        <w:rPr>
          <w:lang w:val="en-US"/>
        </w:rPr>
        <w:t>, [GC], no. 17488/90, ¶ 39, March 27, 1996.</w:t>
      </w:r>
    </w:p>
  </w:footnote>
  <w:footnote w:id="43">
    <w:p w14:paraId="61B3E601" w14:textId="5630155C" w:rsidR="00FC1FC8" w:rsidRPr="00FC1FC8" w:rsidRDefault="00FC1FC8">
      <w:pPr>
        <w:pStyle w:val="FootnoteText"/>
        <w:rPr>
          <w:lang w:val="en-US"/>
        </w:rPr>
      </w:pPr>
      <w:r>
        <w:rPr>
          <w:rStyle w:val="FootnoteReference"/>
        </w:rPr>
        <w:footnoteRef/>
      </w:r>
      <w:r>
        <w:t xml:space="preserve"> </w:t>
      </w:r>
      <w:r w:rsidRPr="00FC1FC8">
        <w:t>African Commission on Human and Peoples’ Rights, ACHPR /Res.62(XXXII)02 (2002).</w:t>
      </w:r>
    </w:p>
  </w:footnote>
  <w:footnote w:id="44">
    <w:p w14:paraId="4E384F99" w14:textId="5ADC4DE0" w:rsidR="00FC1FC8" w:rsidRPr="00FC1FC8" w:rsidRDefault="00FC1FC8">
      <w:pPr>
        <w:pStyle w:val="FootnoteText"/>
        <w:rPr>
          <w:lang w:val="en-US"/>
        </w:rPr>
      </w:pPr>
      <w:r>
        <w:rPr>
          <w:rStyle w:val="FootnoteReference"/>
        </w:rPr>
        <w:footnoteRef/>
      </w:r>
      <w:r>
        <w:t xml:space="preserve"> </w:t>
      </w:r>
      <w:r w:rsidRPr="00FC1FC8">
        <w:t xml:space="preserve">Declaration of Principles on Freedom of Expression, pt 8. </w:t>
      </w:r>
      <w:hyperlink r:id="rId5" w:history="1">
        <w:r w:rsidRPr="00FC1FC8">
          <w:rPr>
            <w:rStyle w:val="Hyperlink"/>
          </w:rPr>
          <w:t>https://www.oas.org/en/iachr/expression/showarticle.asp?artID=26</w:t>
        </w:r>
      </w:hyperlink>
      <w:r w:rsidRPr="00FC1FC8">
        <w:t>.</w:t>
      </w:r>
      <w:r>
        <w:t xml:space="preserve"> </w:t>
      </w:r>
    </w:p>
  </w:footnote>
  <w:footnote w:id="45">
    <w:p w14:paraId="0BF69430" w14:textId="77777777" w:rsidR="00266D01" w:rsidRPr="00C47083" w:rsidRDefault="00266D01" w:rsidP="00266D01">
      <w:pPr>
        <w:pStyle w:val="FootnoteText"/>
        <w:rPr>
          <w:rFonts w:cstheme="minorHAnsi"/>
        </w:rPr>
      </w:pPr>
      <w:r w:rsidRPr="00C47083">
        <w:rPr>
          <w:rStyle w:val="FootnoteReference"/>
          <w:rFonts w:cstheme="minorHAnsi"/>
        </w:rPr>
        <w:footnoteRef/>
      </w:r>
      <w:r w:rsidRPr="00C47083">
        <w:rPr>
          <w:rFonts w:cstheme="minorHAnsi"/>
        </w:rPr>
        <w:t xml:space="preserve"> </w:t>
      </w:r>
      <w:hyperlink r:id="rId6" w:anchor=":~:text=Pursuant%20to%20Article%2010%20of,and%20stateless%20persons%20from%20ownership" w:history="1">
        <w:r w:rsidRPr="00C47083">
          <w:rPr>
            <w:rStyle w:val="Hyperlink"/>
            <w:rFonts w:cstheme="minorHAnsi"/>
          </w:rPr>
          <w:t>https://kyrgyzstan.un.org/en/251211-un-special-rapporteur-expresses-concerns-draft-mass-media-law-kyrgyz-republic#:~:text=Pursuant%20to%20Article%2010%20of,and%20stateless%20persons%20from%20ownership</w:t>
        </w:r>
      </w:hyperlink>
      <w:r w:rsidRPr="00C47083">
        <w:rPr>
          <w:rFonts w:cstheme="minorHAnsi"/>
        </w:rPr>
        <w:t>.</w:t>
      </w:r>
    </w:p>
    <w:p w14:paraId="2BE5A4F5" w14:textId="38565B53" w:rsidR="00266D01" w:rsidRPr="00C47083" w:rsidRDefault="00266D01" w:rsidP="00266D01">
      <w:pPr>
        <w:pStyle w:val="FootnoteText"/>
        <w:rPr>
          <w:rFonts w:cstheme="minorHAnsi"/>
          <w:lang w:val="en-US"/>
        </w:rPr>
      </w:pPr>
      <w:r w:rsidRPr="00C47083">
        <w:rPr>
          <w:rFonts w:cstheme="minorHAnsi"/>
        </w:rPr>
        <w:t>UN Special Rapporteur Expresses Concerns on the Draft Mass Media Law in the Kyrgyz Republic, dated 31.10.2023</w:t>
      </w:r>
      <w:r w:rsidR="00DB2600">
        <w:rPr>
          <w:rFonts w:cstheme="minorHAnsi"/>
        </w:rPr>
        <w:t xml:space="preserve">. </w:t>
      </w:r>
    </w:p>
  </w:footnote>
  <w:footnote w:id="46">
    <w:p w14:paraId="78E26D59" w14:textId="6588EBD4" w:rsidR="00266D01" w:rsidRPr="00C47083" w:rsidRDefault="00266D01" w:rsidP="00266D01">
      <w:pPr>
        <w:pStyle w:val="FootnoteText"/>
        <w:rPr>
          <w:rFonts w:cstheme="minorHAnsi"/>
        </w:rPr>
      </w:pPr>
      <w:r w:rsidRPr="00C47083">
        <w:rPr>
          <w:rStyle w:val="FootnoteReference"/>
          <w:rFonts w:cstheme="minorHAnsi"/>
        </w:rPr>
        <w:footnoteRef/>
      </w:r>
      <w:r w:rsidRPr="00C47083">
        <w:rPr>
          <w:rFonts w:cstheme="minorHAnsi"/>
        </w:rPr>
        <w:t xml:space="preserve"> </w:t>
      </w:r>
      <w:r w:rsidRPr="00C47083">
        <w:rPr>
          <w:rFonts w:cstheme="minorHAnsi"/>
        </w:rPr>
        <w:t>Philippa Warr, China Cracks Down on Internet Anonymity, WIRED</w:t>
      </w:r>
      <w:r w:rsidR="00ED1112" w:rsidRPr="00C47083">
        <w:rPr>
          <w:rFonts w:cstheme="minorHAnsi"/>
        </w:rPr>
        <w:t xml:space="preserve"> (</w:t>
      </w:r>
      <w:r w:rsidRPr="00C47083">
        <w:rPr>
          <w:rFonts w:cstheme="minorHAnsi"/>
        </w:rPr>
        <w:t>Dec. 28, 2012</w:t>
      </w:r>
      <w:r w:rsidR="00ED1112" w:rsidRPr="00C47083">
        <w:rPr>
          <w:rFonts w:cstheme="minorHAnsi"/>
        </w:rPr>
        <w:t xml:space="preserve">), </w:t>
      </w:r>
      <w:hyperlink r:id="rId7" w:history="1">
        <w:r w:rsidR="00ED1112" w:rsidRPr="00C47083">
          <w:rPr>
            <w:rStyle w:val="Hyperlink"/>
            <w:rFonts w:cstheme="minorHAnsi"/>
          </w:rPr>
          <w:t>http://www.wired.com/news/archive/2012-12/28/china-internet-registration</w:t>
        </w:r>
      </w:hyperlink>
      <w:r w:rsidRPr="00C47083">
        <w:rPr>
          <w:rFonts w:cstheme="minorHAnsi"/>
        </w:rPr>
        <w:t>.</w:t>
      </w:r>
      <w:r w:rsidR="00ED1112" w:rsidRPr="00C47083">
        <w:rPr>
          <w:rFonts w:cstheme="minorHAnsi"/>
        </w:rPr>
        <w:t xml:space="preserve"> </w:t>
      </w:r>
    </w:p>
  </w:footnote>
  <w:footnote w:id="47">
    <w:p w14:paraId="7C8A2462" w14:textId="77777777" w:rsidR="00266D01" w:rsidRPr="00C47083" w:rsidRDefault="00266D01" w:rsidP="00266D01">
      <w:pPr>
        <w:pStyle w:val="FootnoteText"/>
        <w:rPr>
          <w:rFonts w:cstheme="minorHAnsi"/>
        </w:rPr>
      </w:pPr>
      <w:r w:rsidRPr="00C47083">
        <w:rPr>
          <w:rStyle w:val="FootnoteReference"/>
          <w:rFonts w:cstheme="minorHAnsi"/>
        </w:rPr>
        <w:footnoteRef/>
      </w:r>
      <w:r w:rsidRPr="00C47083">
        <w:rPr>
          <w:rFonts w:cstheme="minorHAnsi"/>
        </w:rPr>
        <w:t xml:space="preserve"> </w:t>
      </w:r>
      <w:r w:rsidRPr="00C47083">
        <w:rPr>
          <w:rFonts w:cstheme="minorHAnsi"/>
        </w:rPr>
        <w:t xml:space="preserve">Simon </w:t>
      </w:r>
      <w:proofErr w:type="spellStart"/>
      <w:r w:rsidRPr="00C47083">
        <w:rPr>
          <w:rFonts w:cstheme="minorHAnsi"/>
        </w:rPr>
        <w:t>Roughneen</w:t>
      </w:r>
      <w:proofErr w:type="spellEnd"/>
      <w:r w:rsidRPr="00C47083">
        <w:rPr>
          <w:rFonts w:cstheme="minorHAnsi"/>
        </w:rPr>
        <w:t>, In Vietnam, Draconian Decree Would Clamp Down on Blogs, Online Speech,</w:t>
      </w:r>
    </w:p>
    <w:p w14:paraId="0DF1D73C" w14:textId="1C5EC614" w:rsidR="00266D01" w:rsidRPr="00C47083" w:rsidRDefault="00266D01" w:rsidP="00266D01">
      <w:pPr>
        <w:pStyle w:val="FootnoteText"/>
        <w:rPr>
          <w:rFonts w:cstheme="minorHAnsi"/>
          <w:lang w:val="en-US"/>
        </w:rPr>
      </w:pPr>
      <w:r w:rsidRPr="00C47083">
        <w:rPr>
          <w:rFonts w:cstheme="minorHAnsi"/>
        </w:rPr>
        <w:t xml:space="preserve">MEDIASHIFT, </w:t>
      </w:r>
      <w:r w:rsidR="00C47083">
        <w:rPr>
          <w:rFonts w:cstheme="minorHAnsi"/>
        </w:rPr>
        <w:t>(</w:t>
      </w:r>
      <w:r w:rsidRPr="00C47083">
        <w:rPr>
          <w:rFonts w:cstheme="minorHAnsi"/>
        </w:rPr>
        <w:t>Feb. 11, 2013</w:t>
      </w:r>
      <w:r w:rsidR="00C47083">
        <w:rPr>
          <w:rFonts w:cstheme="minorHAnsi"/>
        </w:rPr>
        <w:t>)</w:t>
      </w:r>
      <w:r w:rsidRPr="00C47083">
        <w:rPr>
          <w:rFonts w:cstheme="minorHAnsi"/>
        </w:rPr>
        <w:t xml:space="preserve">, </w:t>
      </w:r>
      <w:hyperlink r:id="rId8" w:history="1">
        <w:r w:rsidR="00ED1112" w:rsidRPr="00C47083">
          <w:rPr>
            <w:rStyle w:val="Hyperlink"/>
            <w:rFonts w:cstheme="minorHAnsi"/>
          </w:rPr>
          <w:t>http://www.pbs.org/mediashift/2013/02/in-vietnam-draconian-decreewould-clamp-down-on-blogs-online-speech042.html</w:t>
        </w:r>
      </w:hyperlink>
      <w:r w:rsidR="00ED1112" w:rsidRPr="00C47083">
        <w:rPr>
          <w:rFonts w:cstheme="minorHAnsi"/>
        </w:rPr>
        <w:t xml:space="preserve">. </w:t>
      </w:r>
    </w:p>
  </w:footnote>
  <w:footnote w:id="48">
    <w:p w14:paraId="53FC6E17" w14:textId="77777777" w:rsidR="00266D01" w:rsidRPr="00C47083" w:rsidRDefault="00266D01" w:rsidP="00266D01">
      <w:pPr>
        <w:pStyle w:val="FootnoteText"/>
        <w:rPr>
          <w:rFonts w:cstheme="minorHAnsi"/>
        </w:rPr>
      </w:pPr>
      <w:r w:rsidRPr="00C47083">
        <w:rPr>
          <w:rStyle w:val="FootnoteReference"/>
          <w:rFonts w:cstheme="minorHAnsi"/>
        </w:rPr>
        <w:footnoteRef/>
      </w:r>
      <w:r w:rsidRPr="00C47083">
        <w:rPr>
          <w:rFonts w:cstheme="minorHAnsi"/>
        </w:rPr>
        <w:t xml:space="preserve"> </w:t>
      </w:r>
      <w:r w:rsidRPr="00C47083">
        <w:rPr>
          <w:rFonts w:cstheme="minorHAnsi"/>
        </w:rPr>
        <w:t>Michael Birnbaum, Russian Blogger Law Puts New Restrictions on Internet Freedoms, WASH. POST,</w:t>
      </w:r>
    </w:p>
    <w:p w14:paraId="2D3F474D" w14:textId="3E58F9C1" w:rsidR="00266D01" w:rsidRPr="00C47083" w:rsidRDefault="00C47083" w:rsidP="00266D01">
      <w:pPr>
        <w:pStyle w:val="FootnoteText"/>
        <w:rPr>
          <w:rFonts w:cstheme="minorHAnsi"/>
        </w:rPr>
      </w:pPr>
      <w:r>
        <w:rPr>
          <w:rFonts w:cstheme="minorHAnsi"/>
        </w:rPr>
        <w:t>(</w:t>
      </w:r>
      <w:r w:rsidR="00266D01" w:rsidRPr="00C47083">
        <w:rPr>
          <w:rFonts w:cstheme="minorHAnsi"/>
        </w:rPr>
        <w:t>July 31, 2014</w:t>
      </w:r>
      <w:r>
        <w:rPr>
          <w:rFonts w:cstheme="minorHAnsi"/>
        </w:rPr>
        <w:t>)</w:t>
      </w:r>
      <w:r w:rsidR="00266D01" w:rsidRPr="00C47083">
        <w:rPr>
          <w:rFonts w:cstheme="minorHAnsi"/>
        </w:rPr>
        <w:t xml:space="preserve">, </w:t>
      </w:r>
      <w:hyperlink r:id="rId9" w:history="1">
        <w:r w:rsidR="00ED1112" w:rsidRPr="00C47083">
          <w:rPr>
            <w:rStyle w:val="Hyperlink"/>
            <w:rFonts w:cstheme="minorHAnsi"/>
          </w:rPr>
          <w:t>http://www.washingtonpost.com/world/russian-blogger-law-puts-new-restrictions-oninternet-freedoms/2014/07/31/42a05924-a931-459f-acd2-6d08598c375b_story.html</w:t>
        </w:r>
      </w:hyperlink>
      <w:r w:rsidR="00266D01" w:rsidRPr="00C47083">
        <w:rPr>
          <w:rFonts w:cstheme="minorHAnsi"/>
        </w:rPr>
        <w:t>.</w:t>
      </w:r>
      <w:r w:rsidR="00ED1112" w:rsidRPr="00C47083">
        <w:rPr>
          <w:rFonts w:cstheme="minorHAnsi"/>
        </w:rPr>
        <w:t xml:space="preserve"> </w:t>
      </w:r>
    </w:p>
  </w:footnote>
  <w:footnote w:id="49">
    <w:p w14:paraId="72C4B12E" w14:textId="4FC5B84C" w:rsidR="004E4A89" w:rsidRPr="00C47083" w:rsidRDefault="004E4A89">
      <w:pPr>
        <w:pStyle w:val="FootnoteText"/>
        <w:rPr>
          <w:rFonts w:cstheme="minorHAnsi"/>
          <w:lang w:val="en-US"/>
        </w:rPr>
      </w:pPr>
      <w:r w:rsidRPr="00C47083">
        <w:rPr>
          <w:rStyle w:val="FootnoteReference"/>
          <w:rFonts w:cstheme="minorHAnsi"/>
        </w:rPr>
        <w:footnoteRef/>
      </w:r>
      <w:r w:rsidRPr="00C47083">
        <w:rPr>
          <w:rFonts w:cstheme="minorHAnsi"/>
        </w:rPr>
        <w:t xml:space="preserve"> </w:t>
      </w:r>
      <w:r w:rsidRPr="00C47083">
        <w:rPr>
          <w:rFonts w:cstheme="minorHAnsi"/>
        </w:rPr>
        <w:t>David Kaye</w:t>
      </w:r>
      <w:r w:rsidR="00ED1112" w:rsidRPr="00C47083">
        <w:rPr>
          <w:rFonts w:cstheme="minorHAnsi"/>
        </w:rPr>
        <w:t xml:space="preserve">, supra note ¶ </w:t>
      </w:r>
      <w:r w:rsidRPr="00C47083">
        <w:rPr>
          <w:rFonts w:cstheme="minorHAnsi"/>
          <w:lang w:val="en-US"/>
        </w:rPr>
        <w:t>60</w:t>
      </w:r>
      <w:r w:rsidR="00ED1112" w:rsidRPr="00C47083">
        <w:rPr>
          <w:rFonts w:cstheme="minorHAnsi"/>
          <w:lang w:val="en-US"/>
        </w:rPr>
        <w:t xml:space="preserve">. </w:t>
      </w:r>
    </w:p>
  </w:footnote>
  <w:footnote w:id="50">
    <w:p w14:paraId="58B552F4" w14:textId="4E871006" w:rsidR="009033C3" w:rsidRPr="00C47083" w:rsidRDefault="009033C3">
      <w:pPr>
        <w:pStyle w:val="FootnoteText"/>
        <w:rPr>
          <w:rFonts w:cstheme="minorHAnsi"/>
          <w:lang w:val="en-US"/>
        </w:rPr>
      </w:pPr>
      <w:r w:rsidRPr="00C47083">
        <w:rPr>
          <w:rStyle w:val="FootnoteReference"/>
          <w:rFonts w:cstheme="minorHAnsi"/>
        </w:rPr>
        <w:footnoteRef/>
      </w:r>
      <w:r w:rsidRPr="00C47083">
        <w:rPr>
          <w:rFonts w:cstheme="minorHAnsi"/>
        </w:rPr>
        <w:t xml:space="preserve"> </w:t>
      </w:r>
      <w:r w:rsidR="00ED1112" w:rsidRPr="00C47083">
        <w:rPr>
          <w:rFonts w:cstheme="minorHAnsi"/>
          <w:color w:val="000000"/>
        </w:rPr>
        <w:t>Amar Toor</w:t>
      </w:r>
      <w:r w:rsidRPr="00C47083">
        <w:rPr>
          <w:rFonts w:cstheme="minorHAnsi"/>
          <w:color w:val="000000"/>
        </w:rPr>
        <w:t xml:space="preserve">, </w:t>
      </w:r>
      <w:r w:rsidRPr="00C47083">
        <w:rPr>
          <w:rFonts w:cstheme="minorHAnsi"/>
          <w:color w:val="000000" w:themeColor="text1"/>
        </w:rPr>
        <w:t>Twitter Must Disclose Authors of Anti-Semitic Tweets, French Appeals Court Rules</w:t>
      </w:r>
      <w:r w:rsidRPr="00C47083">
        <w:rPr>
          <w:rFonts w:cstheme="minorHAnsi"/>
          <w:color w:val="000000"/>
        </w:rPr>
        <w:t xml:space="preserve">, </w:t>
      </w:r>
      <w:r w:rsidR="00ED1112" w:rsidRPr="00C47083">
        <w:rPr>
          <w:rFonts w:cstheme="minorHAnsi"/>
          <w:color w:val="000000"/>
        </w:rPr>
        <w:t>The Verge (</w:t>
      </w:r>
      <w:r w:rsidRPr="00C47083">
        <w:rPr>
          <w:rFonts w:cstheme="minorHAnsi"/>
          <w:color w:val="000000"/>
        </w:rPr>
        <w:t xml:space="preserve">June </w:t>
      </w:r>
      <w:r w:rsidR="00ED1112" w:rsidRPr="00C47083">
        <w:rPr>
          <w:rFonts w:cstheme="minorHAnsi"/>
          <w:color w:val="000000"/>
        </w:rPr>
        <w:t xml:space="preserve">13, </w:t>
      </w:r>
      <w:r w:rsidRPr="00C47083">
        <w:rPr>
          <w:rFonts w:cstheme="minorHAnsi"/>
          <w:color w:val="000000"/>
        </w:rPr>
        <w:t>2013</w:t>
      </w:r>
      <w:r w:rsidR="00ED1112" w:rsidRPr="00C47083">
        <w:rPr>
          <w:rFonts w:cstheme="minorHAnsi"/>
          <w:color w:val="000000"/>
        </w:rPr>
        <w:t xml:space="preserve">), </w:t>
      </w:r>
      <w:hyperlink r:id="rId10" w:history="1">
        <w:r w:rsidR="00ED1112" w:rsidRPr="00C47083">
          <w:rPr>
            <w:rStyle w:val="Hyperlink"/>
            <w:rFonts w:cstheme="minorHAnsi"/>
          </w:rPr>
          <w:t>https://www.theverge.com/2013/6/13/4425796/twitter-must-disclose-names-of-anti-semitic-racist-authors-french-appeal</w:t>
        </w:r>
      </w:hyperlink>
      <w:r w:rsidR="00ED1112" w:rsidRPr="00C47083">
        <w:rPr>
          <w:rFonts w:cstheme="minorHAnsi"/>
          <w:color w:val="000000"/>
        </w:rPr>
        <w:t xml:space="preserve">. </w:t>
      </w:r>
    </w:p>
  </w:footnote>
  <w:footnote w:id="51">
    <w:p w14:paraId="690DEE8B" w14:textId="216A70EC" w:rsidR="009033C3" w:rsidRPr="00C47083" w:rsidRDefault="009033C3">
      <w:pPr>
        <w:pStyle w:val="FootnoteText"/>
        <w:rPr>
          <w:rFonts w:cstheme="minorHAnsi"/>
          <w:lang w:val="en-US"/>
        </w:rPr>
      </w:pPr>
      <w:r w:rsidRPr="00C47083">
        <w:rPr>
          <w:rStyle w:val="FootnoteReference"/>
          <w:rFonts w:cstheme="minorHAnsi"/>
        </w:rPr>
        <w:footnoteRef/>
      </w:r>
      <w:r w:rsidRPr="00C47083">
        <w:rPr>
          <w:rFonts w:cstheme="minorHAnsi"/>
        </w:rPr>
        <w:t xml:space="preserve"> </w:t>
      </w:r>
      <w:r w:rsidRPr="00C47083">
        <w:rPr>
          <w:rFonts w:cstheme="minorHAnsi"/>
        </w:rPr>
        <w:t>R. v. Spencer, 2014 SCC 43</w:t>
      </w:r>
      <w:r w:rsidR="00ED1112" w:rsidRPr="00C47083">
        <w:rPr>
          <w:rFonts w:cstheme="minorHAnsi"/>
        </w:rPr>
        <w:t xml:space="preserve">. </w:t>
      </w:r>
    </w:p>
  </w:footnote>
  <w:footnote w:id="52">
    <w:p w14:paraId="04285A79" w14:textId="4575AF24" w:rsidR="009033C3" w:rsidRPr="00C47083" w:rsidRDefault="009033C3">
      <w:pPr>
        <w:pStyle w:val="FootnoteText"/>
        <w:rPr>
          <w:rFonts w:cstheme="minorHAnsi"/>
          <w:lang w:val="en-US"/>
        </w:rPr>
      </w:pPr>
      <w:r w:rsidRPr="00C47083">
        <w:rPr>
          <w:rStyle w:val="FootnoteReference"/>
          <w:rFonts w:cstheme="minorHAnsi"/>
        </w:rPr>
        <w:footnoteRef/>
      </w:r>
      <w:r w:rsidR="00C47083" w:rsidRPr="00C47083">
        <w:rPr>
          <w:rFonts w:cstheme="minorHAnsi"/>
        </w:rPr>
        <w:t xml:space="preserve">Article 19, </w:t>
      </w:r>
      <w:r w:rsidR="00C47083" w:rsidRPr="00C47083">
        <w:rPr>
          <w:rFonts w:cstheme="minorHAnsi"/>
          <w:lang w:val="en-US"/>
        </w:rPr>
        <w:t xml:space="preserve">Response to UN Special Rapporteur’s Call for Comments on Encryption and Anonymity Online, Feb 2015, pg. 9. </w:t>
      </w:r>
      <w:r w:rsidRPr="00C47083">
        <w:rPr>
          <w:rFonts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A55B2"/>
    <w:multiLevelType w:val="hybridMultilevel"/>
    <w:tmpl w:val="AED495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DC5BA3"/>
    <w:multiLevelType w:val="multilevel"/>
    <w:tmpl w:val="917CE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BF7782"/>
    <w:multiLevelType w:val="hybridMultilevel"/>
    <w:tmpl w:val="AA18E9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05364A9"/>
    <w:multiLevelType w:val="hybridMultilevel"/>
    <w:tmpl w:val="AED495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37620090">
    <w:abstractNumId w:val="1"/>
  </w:num>
  <w:num w:numId="2" w16cid:durableId="2096780485">
    <w:abstractNumId w:val="3"/>
  </w:num>
  <w:num w:numId="3" w16cid:durableId="1154418030">
    <w:abstractNumId w:val="0"/>
  </w:num>
  <w:num w:numId="4" w16cid:durableId="2112816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EF"/>
    <w:rsid w:val="000074C8"/>
    <w:rsid w:val="000109CD"/>
    <w:rsid w:val="0002404E"/>
    <w:rsid w:val="000500BD"/>
    <w:rsid w:val="0005057C"/>
    <w:rsid w:val="000553B3"/>
    <w:rsid w:val="000626CB"/>
    <w:rsid w:val="00070FDA"/>
    <w:rsid w:val="00081CA2"/>
    <w:rsid w:val="00092E23"/>
    <w:rsid w:val="000A36FD"/>
    <w:rsid w:val="000C132D"/>
    <w:rsid w:val="000C5070"/>
    <w:rsid w:val="000C6099"/>
    <w:rsid w:val="000C6BCD"/>
    <w:rsid w:val="000E2957"/>
    <w:rsid w:val="000E37B6"/>
    <w:rsid w:val="000F0A37"/>
    <w:rsid w:val="00111A1C"/>
    <w:rsid w:val="001178A1"/>
    <w:rsid w:val="00132B28"/>
    <w:rsid w:val="001439ED"/>
    <w:rsid w:val="0016215E"/>
    <w:rsid w:val="001778EF"/>
    <w:rsid w:val="00187BCF"/>
    <w:rsid w:val="001B7D35"/>
    <w:rsid w:val="001C51AE"/>
    <w:rsid w:val="001D4103"/>
    <w:rsid w:val="001E16ED"/>
    <w:rsid w:val="001F1EAA"/>
    <w:rsid w:val="001F423B"/>
    <w:rsid w:val="001F58F2"/>
    <w:rsid w:val="00230BEA"/>
    <w:rsid w:val="0024002E"/>
    <w:rsid w:val="00240AAE"/>
    <w:rsid w:val="00241BFD"/>
    <w:rsid w:val="00251B91"/>
    <w:rsid w:val="00253876"/>
    <w:rsid w:val="00266D01"/>
    <w:rsid w:val="002773FE"/>
    <w:rsid w:val="002A67DD"/>
    <w:rsid w:val="002B15DE"/>
    <w:rsid w:val="002C405F"/>
    <w:rsid w:val="002C59D5"/>
    <w:rsid w:val="002C739C"/>
    <w:rsid w:val="002D2B60"/>
    <w:rsid w:val="002D5EB4"/>
    <w:rsid w:val="002D6326"/>
    <w:rsid w:val="002F5536"/>
    <w:rsid w:val="0030195B"/>
    <w:rsid w:val="00301E61"/>
    <w:rsid w:val="003035AF"/>
    <w:rsid w:val="00345610"/>
    <w:rsid w:val="00351DCF"/>
    <w:rsid w:val="00383E97"/>
    <w:rsid w:val="003843A5"/>
    <w:rsid w:val="00391760"/>
    <w:rsid w:val="003A49B0"/>
    <w:rsid w:val="003E3480"/>
    <w:rsid w:val="003E7FBD"/>
    <w:rsid w:val="003F4309"/>
    <w:rsid w:val="003F7177"/>
    <w:rsid w:val="00400F99"/>
    <w:rsid w:val="0040797D"/>
    <w:rsid w:val="00414B47"/>
    <w:rsid w:val="00424490"/>
    <w:rsid w:val="00431D69"/>
    <w:rsid w:val="00437226"/>
    <w:rsid w:val="004450FD"/>
    <w:rsid w:val="00460638"/>
    <w:rsid w:val="0046292D"/>
    <w:rsid w:val="00473C3A"/>
    <w:rsid w:val="00484986"/>
    <w:rsid w:val="00485FFB"/>
    <w:rsid w:val="004903FC"/>
    <w:rsid w:val="004A068F"/>
    <w:rsid w:val="004C7A24"/>
    <w:rsid w:val="004E4A89"/>
    <w:rsid w:val="004E59F3"/>
    <w:rsid w:val="005030F4"/>
    <w:rsid w:val="00505EFF"/>
    <w:rsid w:val="00525428"/>
    <w:rsid w:val="00551CEC"/>
    <w:rsid w:val="00553C26"/>
    <w:rsid w:val="00594E72"/>
    <w:rsid w:val="0059789F"/>
    <w:rsid w:val="005A4DE5"/>
    <w:rsid w:val="005B5D53"/>
    <w:rsid w:val="006033B8"/>
    <w:rsid w:val="0061045A"/>
    <w:rsid w:val="00617E48"/>
    <w:rsid w:val="00623FA6"/>
    <w:rsid w:val="00630300"/>
    <w:rsid w:val="00636E17"/>
    <w:rsid w:val="00644DFA"/>
    <w:rsid w:val="006471DE"/>
    <w:rsid w:val="00653DF6"/>
    <w:rsid w:val="00672269"/>
    <w:rsid w:val="006909B3"/>
    <w:rsid w:val="00696E47"/>
    <w:rsid w:val="006A29EF"/>
    <w:rsid w:val="006B0888"/>
    <w:rsid w:val="006C2E84"/>
    <w:rsid w:val="006E3CAF"/>
    <w:rsid w:val="006F50EA"/>
    <w:rsid w:val="006F650D"/>
    <w:rsid w:val="00710000"/>
    <w:rsid w:val="00711115"/>
    <w:rsid w:val="00712768"/>
    <w:rsid w:val="0071472C"/>
    <w:rsid w:val="007171F1"/>
    <w:rsid w:val="00724B68"/>
    <w:rsid w:val="00736C9D"/>
    <w:rsid w:val="00741D36"/>
    <w:rsid w:val="007477EE"/>
    <w:rsid w:val="00777598"/>
    <w:rsid w:val="00781D4C"/>
    <w:rsid w:val="007864D3"/>
    <w:rsid w:val="00793AB2"/>
    <w:rsid w:val="00797340"/>
    <w:rsid w:val="007A45ED"/>
    <w:rsid w:val="007B3BB5"/>
    <w:rsid w:val="007D3F38"/>
    <w:rsid w:val="007F425D"/>
    <w:rsid w:val="007F484E"/>
    <w:rsid w:val="007F6C16"/>
    <w:rsid w:val="007F7CAF"/>
    <w:rsid w:val="00814285"/>
    <w:rsid w:val="008172A1"/>
    <w:rsid w:val="00823C6E"/>
    <w:rsid w:val="00827A3C"/>
    <w:rsid w:val="00836B0F"/>
    <w:rsid w:val="00853CC3"/>
    <w:rsid w:val="008768F8"/>
    <w:rsid w:val="00884C93"/>
    <w:rsid w:val="008A2DA7"/>
    <w:rsid w:val="008B00EF"/>
    <w:rsid w:val="008C2F9A"/>
    <w:rsid w:val="008C7FBF"/>
    <w:rsid w:val="008F1755"/>
    <w:rsid w:val="009033C3"/>
    <w:rsid w:val="0092173A"/>
    <w:rsid w:val="00941365"/>
    <w:rsid w:val="009525EB"/>
    <w:rsid w:val="0096051C"/>
    <w:rsid w:val="009612B5"/>
    <w:rsid w:val="00971D9B"/>
    <w:rsid w:val="00987F79"/>
    <w:rsid w:val="009A4A38"/>
    <w:rsid w:val="009A7698"/>
    <w:rsid w:val="009E35C1"/>
    <w:rsid w:val="009E523E"/>
    <w:rsid w:val="009F12C7"/>
    <w:rsid w:val="00A16B3A"/>
    <w:rsid w:val="00A1752E"/>
    <w:rsid w:val="00A252B2"/>
    <w:rsid w:val="00A3461F"/>
    <w:rsid w:val="00A44011"/>
    <w:rsid w:val="00A82AA3"/>
    <w:rsid w:val="00A91212"/>
    <w:rsid w:val="00AC5639"/>
    <w:rsid w:val="00AF0180"/>
    <w:rsid w:val="00AF6E46"/>
    <w:rsid w:val="00B07CF5"/>
    <w:rsid w:val="00B15E8E"/>
    <w:rsid w:val="00B26B93"/>
    <w:rsid w:val="00B307C3"/>
    <w:rsid w:val="00B361DC"/>
    <w:rsid w:val="00B36FAE"/>
    <w:rsid w:val="00B45B91"/>
    <w:rsid w:val="00B510FB"/>
    <w:rsid w:val="00B66A3D"/>
    <w:rsid w:val="00B66D22"/>
    <w:rsid w:val="00B7688F"/>
    <w:rsid w:val="00B87509"/>
    <w:rsid w:val="00B907B4"/>
    <w:rsid w:val="00BB3323"/>
    <w:rsid w:val="00BB576D"/>
    <w:rsid w:val="00BD7D90"/>
    <w:rsid w:val="00BF0005"/>
    <w:rsid w:val="00BF7D31"/>
    <w:rsid w:val="00C06814"/>
    <w:rsid w:val="00C216EC"/>
    <w:rsid w:val="00C47083"/>
    <w:rsid w:val="00C475E5"/>
    <w:rsid w:val="00C53C48"/>
    <w:rsid w:val="00C80254"/>
    <w:rsid w:val="00C81267"/>
    <w:rsid w:val="00C96FF5"/>
    <w:rsid w:val="00CB420A"/>
    <w:rsid w:val="00CD6E2E"/>
    <w:rsid w:val="00D02630"/>
    <w:rsid w:val="00D21061"/>
    <w:rsid w:val="00D30B13"/>
    <w:rsid w:val="00D31149"/>
    <w:rsid w:val="00D433CB"/>
    <w:rsid w:val="00D46882"/>
    <w:rsid w:val="00D532D0"/>
    <w:rsid w:val="00D550D8"/>
    <w:rsid w:val="00D62738"/>
    <w:rsid w:val="00D82326"/>
    <w:rsid w:val="00DA4DA6"/>
    <w:rsid w:val="00DB2600"/>
    <w:rsid w:val="00DC5CAC"/>
    <w:rsid w:val="00DD0A34"/>
    <w:rsid w:val="00DE7BBC"/>
    <w:rsid w:val="00DF1537"/>
    <w:rsid w:val="00E12D45"/>
    <w:rsid w:val="00E24BB7"/>
    <w:rsid w:val="00E26563"/>
    <w:rsid w:val="00E412A8"/>
    <w:rsid w:val="00E468B8"/>
    <w:rsid w:val="00E50141"/>
    <w:rsid w:val="00E50982"/>
    <w:rsid w:val="00E50FAF"/>
    <w:rsid w:val="00E66124"/>
    <w:rsid w:val="00E663E0"/>
    <w:rsid w:val="00E97715"/>
    <w:rsid w:val="00EB16EA"/>
    <w:rsid w:val="00EB6F7A"/>
    <w:rsid w:val="00ED1112"/>
    <w:rsid w:val="00EF47E8"/>
    <w:rsid w:val="00F04B00"/>
    <w:rsid w:val="00F1376A"/>
    <w:rsid w:val="00F31A19"/>
    <w:rsid w:val="00F32B30"/>
    <w:rsid w:val="00F42F61"/>
    <w:rsid w:val="00F44495"/>
    <w:rsid w:val="00F479DA"/>
    <w:rsid w:val="00F62D7E"/>
    <w:rsid w:val="00F7342B"/>
    <w:rsid w:val="00F86B49"/>
    <w:rsid w:val="00F87ECF"/>
    <w:rsid w:val="00F9750B"/>
    <w:rsid w:val="00F9752E"/>
    <w:rsid w:val="00FA5CDE"/>
    <w:rsid w:val="00FB3D68"/>
    <w:rsid w:val="00FB54B3"/>
    <w:rsid w:val="00FC026C"/>
    <w:rsid w:val="00FC1FC8"/>
    <w:rsid w:val="00FE4AA1"/>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372A"/>
  <w15:chartTrackingRefBased/>
  <w15:docId w15:val="{1A3F0FC7-B5C4-435C-BA66-66DAB6D0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F7CAF"/>
    <w:pPr>
      <w:spacing w:after="0" w:line="240" w:lineRule="auto"/>
    </w:pPr>
    <w:rPr>
      <w:sz w:val="20"/>
      <w:szCs w:val="20"/>
    </w:rPr>
  </w:style>
  <w:style w:type="character" w:customStyle="1" w:styleId="FootnoteTextChar">
    <w:name w:val="Footnote Text Char"/>
    <w:basedOn w:val="DefaultParagraphFont"/>
    <w:link w:val="FootnoteText"/>
    <w:uiPriority w:val="99"/>
    <w:rsid w:val="007F7CAF"/>
    <w:rPr>
      <w:sz w:val="20"/>
      <w:szCs w:val="20"/>
    </w:rPr>
  </w:style>
  <w:style w:type="character" w:styleId="FootnoteReference">
    <w:name w:val="footnote reference"/>
    <w:basedOn w:val="DefaultParagraphFont"/>
    <w:uiPriority w:val="99"/>
    <w:semiHidden/>
    <w:unhideWhenUsed/>
    <w:rsid w:val="007F7CAF"/>
    <w:rPr>
      <w:vertAlign w:val="superscript"/>
    </w:rPr>
  </w:style>
  <w:style w:type="paragraph" w:styleId="Header">
    <w:name w:val="header"/>
    <w:basedOn w:val="Normal"/>
    <w:link w:val="HeaderChar"/>
    <w:uiPriority w:val="99"/>
    <w:unhideWhenUsed/>
    <w:rsid w:val="00230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BEA"/>
  </w:style>
  <w:style w:type="paragraph" w:styleId="Footer">
    <w:name w:val="footer"/>
    <w:basedOn w:val="Normal"/>
    <w:link w:val="FooterChar"/>
    <w:uiPriority w:val="99"/>
    <w:unhideWhenUsed/>
    <w:rsid w:val="00230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BEA"/>
  </w:style>
  <w:style w:type="character" w:styleId="Hyperlink">
    <w:name w:val="Hyperlink"/>
    <w:basedOn w:val="DefaultParagraphFont"/>
    <w:uiPriority w:val="99"/>
    <w:unhideWhenUsed/>
    <w:rsid w:val="00C475E5"/>
    <w:rPr>
      <w:color w:val="0563C1" w:themeColor="hyperlink"/>
      <w:u w:val="single"/>
    </w:rPr>
  </w:style>
  <w:style w:type="character" w:styleId="UnresolvedMention">
    <w:name w:val="Unresolved Mention"/>
    <w:basedOn w:val="DefaultParagraphFont"/>
    <w:uiPriority w:val="99"/>
    <w:semiHidden/>
    <w:unhideWhenUsed/>
    <w:rsid w:val="00C475E5"/>
    <w:rPr>
      <w:color w:val="605E5C"/>
      <w:shd w:val="clear" w:color="auto" w:fill="E1DFDD"/>
    </w:rPr>
  </w:style>
  <w:style w:type="character" w:customStyle="1" w:styleId="fontstyle01">
    <w:name w:val="fontstyle01"/>
    <w:basedOn w:val="DefaultParagraphFont"/>
    <w:rsid w:val="009F12C7"/>
    <w:rPr>
      <w:rFonts w:ascii="LiberationSerif" w:hAnsi="LiberationSerif" w:hint="default"/>
      <w:b w:val="0"/>
      <w:bCs w:val="0"/>
      <w:i w:val="0"/>
      <w:iCs w:val="0"/>
      <w:color w:val="000000"/>
      <w:sz w:val="24"/>
      <w:szCs w:val="24"/>
    </w:rPr>
  </w:style>
  <w:style w:type="paragraph" w:styleId="EndnoteText">
    <w:name w:val="endnote text"/>
    <w:basedOn w:val="Normal"/>
    <w:link w:val="EndnoteTextChar"/>
    <w:uiPriority w:val="99"/>
    <w:semiHidden/>
    <w:unhideWhenUsed/>
    <w:rsid w:val="001E16E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16ED"/>
    <w:rPr>
      <w:sz w:val="20"/>
      <w:szCs w:val="20"/>
    </w:rPr>
  </w:style>
  <w:style w:type="character" w:styleId="EndnoteReference">
    <w:name w:val="endnote reference"/>
    <w:basedOn w:val="DefaultParagraphFont"/>
    <w:uiPriority w:val="99"/>
    <w:semiHidden/>
    <w:unhideWhenUsed/>
    <w:rsid w:val="001E16ED"/>
    <w:rPr>
      <w:vertAlign w:val="superscript"/>
    </w:rPr>
  </w:style>
  <w:style w:type="paragraph" w:styleId="ListParagraph">
    <w:name w:val="List Paragraph"/>
    <w:basedOn w:val="Normal"/>
    <w:uiPriority w:val="34"/>
    <w:qFormat/>
    <w:rsid w:val="00F97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763">
      <w:bodyDiv w:val="1"/>
      <w:marLeft w:val="0"/>
      <w:marRight w:val="0"/>
      <w:marTop w:val="0"/>
      <w:marBottom w:val="0"/>
      <w:divBdr>
        <w:top w:val="none" w:sz="0" w:space="0" w:color="auto"/>
        <w:left w:val="none" w:sz="0" w:space="0" w:color="auto"/>
        <w:bottom w:val="none" w:sz="0" w:space="0" w:color="auto"/>
        <w:right w:val="none" w:sz="0" w:space="0" w:color="auto"/>
      </w:divBdr>
    </w:div>
    <w:div w:id="687177686">
      <w:bodyDiv w:val="1"/>
      <w:marLeft w:val="0"/>
      <w:marRight w:val="0"/>
      <w:marTop w:val="0"/>
      <w:marBottom w:val="0"/>
      <w:divBdr>
        <w:top w:val="none" w:sz="0" w:space="0" w:color="auto"/>
        <w:left w:val="none" w:sz="0" w:space="0" w:color="auto"/>
        <w:bottom w:val="none" w:sz="0" w:space="0" w:color="auto"/>
        <w:right w:val="none" w:sz="0" w:space="0" w:color="auto"/>
      </w:divBdr>
    </w:div>
    <w:div w:id="781874430">
      <w:bodyDiv w:val="1"/>
      <w:marLeft w:val="0"/>
      <w:marRight w:val="0"/>
      <w:marTop w:val="0"/>
      <w:marBottom w:val="0"/>
      <w:divBdr>
        <w:top w:val="none" w:sz="0" w:space="0" w:color="auto"/>
        <w:left w:val="none" w:sz="0" w:space="0" w:color="auto"/>
        <w:bottom w:val="none" w:sz="0" w:space="0" w:color="auto"/>
        <w:right w:val="none" w:sz="0" w:space="0" w:color="auto"/>
      </w:divBdr>
    </w:div>
    <w:div w:id="980187219">
      <w:bodyDiv w:val="1"/>
      <w:marLeft w:val="0"/>
      <w:marRight w:val="0"/>
      <w:marTop w:val="0"/>
      <w:marBottom w:val="0"/>
      <w:divBdr>
        <w:top w:val="none" w:sz="0" w:space="0" w:color="auto"/>
        <w:left w:val="none" w:sz="0" w:space="0" w:color="auto"/>
        <w:bottom w:val="none" w:sz="0" w:space="0" w:color="auto"/>
        <w:right w:val="none" w:sz="0" w:space="0" w:color="auto"/>
      </w:divBdr>
    </w:div>
    <w:div w:id="1116826004">
      <w:bodyDiv w:val="1"/>
      <w:marLeft w:val="0"/>
      <w:marRight w:val="0"/>
      <w:marTop w:val="0"/>
      <w:marBottom w:val="0"/>
      <w:divBdr>
        <w:top w:val="none" w:sz="0" w:space="0" w:color="auto"/>
        <w:left w:val="none" w:sz="0" w:space="0" w:color="auto"/>
        <w:bottom w:val="none" w:sz="0" w:space="0" w:color="auto"/>
        <w:right w:val="none" w:sz="0" w:space="0" w:color="auto"/>
      </w:divBdr>
    </w:div>
    <w:div w:id="1128820384">
      <w:bodyDiv w:val="1"/>
      <w:marLeft w:val="0"/>
      <w:marRight w:val="0"/>
      <w:marTop w:val="0"/>
      <w:marBottom w:val="0"/>
      <w:divBdr>
        <w:top w:val="none" w:sz="0" w:space="0" w:color="auto"/>
        <w:left w:val="none" w:sz="0" w:space="0" w:color="auto"/>
        <w:bottom w:val="none" w:sz="0" w:space="0" w:color="auto"/>
        <w:right w:val="none" w:sz="0" w:space="0" w:color="auto"/>
      </w:divBdr>
    </w:div>
    <w:div w:id="1187140831">
      <w:bodyDiv w:val="1"/>
      <w:marLeft w:val="0"/>
      <w:marRight w:val="0"/>
      <w:marTop w:val="0"/>
      <w:marBottom w:val="0"/>
      <w:divBdr>
        <w:top w:val="none" w:sz="0" w:space="0" w:color="auto"/>
        <w:left w:val="none" w:sz="0" w:space="0" w:color="auto"/>
        <w:bottom w:val="none" w:sz="0" w:space="0" w:color="auto"/>
        <w:right w:val="none" w:sz="0" w:space="0" w:color="auto"/>
      </w:divBdr>
    </w:div>
    <w:div w:id="1257402770">
      <w:bodyDiv w:val="1"/>
      <w:marLeft w:val="0"/>
      <w:marRight w:val="0"/>
      <w:marTop w:val="0"/>
      <w:marBottom w:val="0"/>
      <w:divBdr>
        <w:top w:val="none" w:sz="0" w:space="0" w:color="auto"/>
        <w:left w:val="none" w:sz="0" w:space="0" w:color="auto"/>
        <w:bottom w:val="none" w:sz="0" w:space="0" w:color="auto"/>
        <w:right w:val="none" w:sz="0" w:space="0" w:color="auto"/>
      </w:divBdr>
    </w:div>
    <w:div w:id="1307509631">
      <w:bodyDiv w:val="1"/>
      <w:marLeft w:val="0"/>
      <w:marRight w:val="0"/>
      <w:marTop w:val="0"/>
      <w:marBottom w:val="0"/>
      <w:divBdr>
        <w:top w:val="none" w:sz="0" w:space="0" w:color="auto"/>
        <w:left w:val="none" w:sz="0" w:space="0" w:color="auto"/>
        <w:bottom w:val="none" w:sz="0" w:space="0" w:color="auto"/>
        <w:right w:val="none" w:sz="0" w:space="0" w:color="auto"/>
      </w:divBdr>
    </w:div>
    <w:div w:id="1365643130">
      <w:bodyDiv w:val="1"/>
      <w:marLeft w:val="0"/>
      <w:marRight w:val="0"/>
      <w:marTop w:val="0"/>
      <w:marBottom w:val="0"/>
      <w:divBdr>
        <w:top w:val="none" w:sz="0" w:space="0" w:color="auto"/>
        <w:left w:val="none" w:sz="0" w:space="0" w:color="auto"/>
        <w:bottom w:val="none" w:sz="0" w:space="0" w:color="auto"/>
        <w:right w:val="none" w:sz="0" w:space="0" w:color="auto"/>
      </w:divBdr>
    </w:div>
    <w:div w:id="1375082037">
      <w:bodyDiv w:val="1"/>
      <w:marLeft w:val="0"/>
      <w:marRight w:val="0"/>
      <w:marTop w:val="0"/>
      <w:marBottom w:val="0"/>
      <w:divBdr>
        <w:top w:val="none" w:sz="0" w:space="0" w:color="auto"/>
        <w:left w:val="none" w:sz="0" w:space="0" w:color="auto"/>
        <w:bottom w:val="none" w:sz="0" w:space="0" w:color="auto"/>
        <w:right w:val="none" w:sz="0" w:space="0" w:color="auto"/>
      </w:divBdr>
    </w:div>
    <w:div w:id="1649477955">
      <w:bodyDiv w:val="1"/>
      <w:marLeft w:val="0"/>
      <w:marRight w:val="0"/>
      <w:marTop w:val="0"/>
      <w:marBottom w:val="0"/>
      <w:divBdr>
        <w:top w:val="none" w:sz="0" w:space="0" w:color="auto"/>
        <w:left w:val="none" w:sz="0" w:space="0" w:color="auto"/>
        <w:bottom w:val="none" w:sz="0" w:space="0" w:color="auto"/>
        <w:right w:val="none" w:sz="0" w:space="0" w:color="auto"/>
      </w:divBdr>
    </w:div>
    <w:div w:id="2094861691">
      <w:bodyDiv w:val="1"/>
      <w:marLeft w:val="0"/>
      <w:marRight w:val="0"/>
      <w:marTop w:val="0"/>
      <w:marBottom w:val="0"/>
      <w:divBdr>
        <w:top w:val="none" w:sz="0" w:space="0" w:color="auto"/>
        <w:left w:val="none" w:sz="0" w:space="0" w:color="auto"/>
        <w:bottom w:val="none" w:sz="0" w:space="0" w:color="auto"/>
        <w:right w:val="none" w:sz="0" w:space="0" w:color="auto"/>
      </w:divBdr>
    </w:div>
    <w:div w:id="214403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www.pbs.org/mediashift/2013/02/in-vietnam-draconian-decreewould-clamp-down-on-blogs-online-speech042.html" TargetMode="External"/><Relationship Id="rId3" Type="http://schemas.openxmlformats.org/officeDocument/2006/relationships/hyperlink" Target="https://www.theguardian.com/world/2013/jan/04/facebook-germany-data-protection" TargetMode="External"/><Relationship Id="rId7" Type="http://schemas.openxmlformats.org/officeDocument/2006/relationships/hyperlink" Target="http://www.wired.com/news/archive/2012-12/28/china-internet-registration" TargetMode="External"/><Relationship Id="rId2" Type="http://schemas.openxmlformats.org/officeDocument/2006/relationships/hyperlink" Target="https://rm.coe.int/16805dfbd5" TargetMode="External"/><Relationship Id="rId1" Type="http://schemas.openxmlformats.org/officeDocument/2006/relationships/hyperlink" Target="https://www.theguardian.com/news/2018/may/06/cambridge-analytica-how-turn-clicks-into-votes-christopher-wylie" TargetMode="External"/><Relationship Id="rId6" Type="http://schemas.openxmlformats.org/officeDocument/2006/relationships/hyperlink" Target="https://kyrgyzstan.un.org/en/251211-un-special-rapporteur-expresses-concerns-draft-mass-media-law-kyrgyz-republic" TargetMode="External"/><Relationship Id="rId5" Type="http://schemas.openxmlformats.org/officeDocument/2006/relationships/hyperlink" Target="https://www.oas.org/en/iachr/expression/showarticle.asp?artID=26" TargetMode="External"/><Relationship Id="rId10" Type="http://schemas.openxmlformats.org/officeDocument/2006/relationships/hyperlink" Target="https://www.theverge.com/2013/6/13/4425796/twitter-must-disclose-names-of-anti-semitic-racist-authors-french-appeal" TargetMode="External"/><Relationship Id="rId4" Type="http://schemas.openxmlformats.org/officeDocument/2006/relationships/hyperlink" Target="https://globalfreedomofexpression.columbia.edu/cases/unconstitutionality-of-the-national-registry-of-mobile-telephone-users/" TargetMode="External"/><Relationship Id="rId9" Type="http://schemas.openxmlformats.org/officeDocument/2006/relationships/hyperlink" Target="http://www.washingtonpost.com/world/russian-blogger-law-puts-new-restrictions-oninternet-freedoms/2014/07/31/42a05924-a931-459f-acd2-6d08598c375b_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1815</Words>
  <Characters>10348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 SINGH</dc:creator>
  <cp:keywords/>
  <dc:description/>
  <cp:lastModifiedBy>ksparkskype ksparkskype</cp:lastModifiedBy>
  <cp:revision>3</cp:revision>
  <dcterms:created xsi:type="dcterms:W3CDTF">2024-05-24T21:47:00Z</dcterms:created>
  <dcterms:modified xsi:type="dcterms:W3CDTF">2024-05-24T22:26:00Z</dcterms:modified>
</cp:coreProperties>
</file>